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88" w:firstLineChars="20"/>
        <w:jc w:val="center"/>
        <w:rPr>
          <w:rFonts w:ascii="宋体" w:hAnsi="宋体"/>
          <w:b/>
          <w:sz w:val="44"/>
          <w:szCs w:val="44"/>
          <w:u w:val="single"/>
        </w:rPr>
      </w:pPr>
      <w:r>
        <w:rPr>
          <w:rFonts w:hint="eastAsia" w:ascii="宋体" w:hAnsi="宋体"/>
          <w:b/>
          <w:sz w:val="44"/>
          <w:szCs w:val="44"/>
          <w:u w:val="single"/>
        </w:rPr>
        <w:t>1号楼4层手术区供应室安装分体空调案</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20</w:t>
      </w:r>
      <w:r>
        <w:rPr>
          <w:rFonts w:hint="eastAsia" w:ascii="宋体" w:hAnsi="宋体"/>
          <w:b/>
          <w:sz w:val="32"/>
          <w:szCs w:val="32"/>
          <w:u w:val="single"/>
        </w:rPr>
        <w:t>17</w:t>
      </w:r>
      <w:r>
        <w:rPr>
          <w:rFonts w:hint="eastAsia" w:ascii="宋体" w:hAnsi="宋体"/>
          <w:b/>
          <w:sz w:val="32"/>
          <w:szCs w:val="32"/>
        </w:rPr>
        <w:t>号</w:t>
      </w:r>
    </w:p>
    <w:p>
      <w:pPr>
        <w:adjustRightInd w:val="0"/>
        <w:snapToGrid w:val="0"/>
        <w:ind w:firstLine="2287" w:firstLineChars="712"/>
        <w:rPr>
          <w:rFonts w:ascii="宋体" w:hAnsi="宋体"/>
          <w:b/>
          <w:sz w:val="32"/>
          <w:szCs w:val="32"/>
          <w:u w:val="single"/>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rPr>
        <w:t>TH21146</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二○二一年十月</w:t>
      </w:r>
    </w:p>
    <w:p>
      <w:pPr>
        <w:adjustRightInd w:val="0"/>
        <w:snapToGrid w:val="0"/>
        <w:ind w:firstLine="0" w:firstLineChars="0"/>
        <w:jc w:val="center"/>
      </w:pPr>
    </w:p>
    <w:p>
      <w:pPr>
        <w:pStyle w:val="59"/>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116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123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127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134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138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150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2"/>
        <w:keepNext w:val="0"/>
        <w:keepLines w:val="0"/>
        <w:ind w:left="0"/>
        <w:rPr>
          <w:rFonts w:ascii="宋体" w:hAnsi="宋体"/>
        </w:rPr>
      </w:pPr>
      <w:bookmarkStart w:id="0" w:name="_Toc79682141"/>
      <w:bookmarkStart w:id="1" w:name="_Toc138740206"/>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41"/>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spacing w:line="240" w:lineRule="auto"/>
              <w:ind w:firstLine="0" w:firstLineChars="0"/>
              <w:jc w:val="left"/>
              <w:rPr>
                <w:rFonts w:ascii="宋体" w:hAnsi="宋体"/>
                <w:b/>
                <w:szCs w:val="21"/>
              </w:rPr>
            </w:pPr>
            <w:r>
              <w:rPr>
                <w:rFonts w:hint="eastAsia" w:ascii="宋体" w:hAnsi="宋体"/>
                <w:bCs/>
                <w:szCs w:val="21"/>
              </w:rPr>
              <w:t>1号楼4层手术区供应室安装分体空调案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rPr>
                <w:highlight w:val="none"/>
              </w:rPr>
            </w:pPr>
            <w:r>
              <w:rPr>
                <w:rFonts w:hint="eastAsia"/>
                <w:highlight w:val="none"/>
              </w:rPr>
              <w:t>招标范围</w:t>
            </w:r>
          </w:p>
        </w:tc>
        <w:tc>
          <w:tcPr>
            <w:tcW w:w="5101" w:type="dxa"/>
            <w:vAlign w:val="center"/>
          </w:tcPr>
          <w:p>
            <w:pPr>
              <w:pStyle w:val="61"/>
              <w:rPr>
                <w:highlight w:val="none"/>
              </w:rPr>
            </w:pPr>
            <w:r>
              <w:rPr>
                <w:rFonts w:hint="eastAsia"/>
                <w:highlight w:val="none"/>
              </w:rPr>
              <w:t>本次招标的范围为图纸中所包含的设备采购安装、管道及保温采购安装、配电设施采购及安装、装修部分拆改及系统调试等。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计划开工时间：20</w:t>
            </w:r>
            <w:r>
              <w:t>2</w:t>
            </w:r>
            <w:r>
              <w:rPr>
                <w:rFonts w:hint="eastAsia"/>
              </w:rPr>
              <w:t>1年</w:t>
            </w:r>
            <w:r>
              <w:rPr>
                <w:rFonts w:hint="eastAsia"/>
                <w:u w:val="single"/>
              </w:rPr>
              <w:t xml:space="preserve"> 10 </w:t>
            </w:r>
            <w:r>
              <w:rPr>
                <w:rFonts w:hint="eastAsia"/>
              </w:rPr>
              <w:t>月</w:t>
            </w:r>
            <w:r>
              <w:rPr>
                <w:rFonts w:hint="eastAsia"/>
                <w:u w:val="single"/>
              </w:rPr>
              <w:t xml:space="preserve"> 2</w:t>
            </w:r>
            <w:r>
              <w:rPr>
                <w:rFonts w:hint="eastAsia"/>
                <w:u w:val="single"/>
                <w:lang w:val="en-US" w:eastAsia="zh-CN"/>
              </w:rPr>
              <w:t>5</w:t>
            </w:r>
            <w:r>
              <w:rPr>
                <w:rFonts w:hint="eastAsia"/>
                <w:u w:val="single"/>
              </w:rPr>
              <w:t xml:space="preserve">  </w:t>
            </w:r>
            <w:r>
              <w:rPr>
                <w:rFonts w:hint="eastAsia"/>
              </w:rPr>
              <w:t>日，招标人要求工期：</w:t>
            </w:r>
            <w:r>
              <w:rPr>
                <w:rFonts w:hint="eastAsia"/>
                <w:lang w:val="en-US" w:eastAsia="zh-CN"/>
              </w:rPr>
              <w:t>30</w:t>
            </w:r>
            <w:r>
              <w:rPr>
                <w:rFonts w:hint="eastAsia"/>
              </w:rPr>
              <w:t>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highlight w:val="none"/>
              </w:rPr>
              <w:t>投标人资质及项目经理等级要求</w:t>
            </w:r>
          </w:p>
        </w:tc>
        <w:tc>
          <w:tcPr>
            <w:tcW w:w="5101" w:type="dxa"/>
            <w:vAlign w:val="center"/>
          </w:tcPr>
          <w:p>
            <w:pPr>
              <w:pStyle w:val="61"/>
            </w:pPr>
            <w:r>
              <w:rPr>
                <w:rFonts w:hint="eastAsia"/>
              </w:rPr>
              <w:t>1、具有有效的企业营业执照；</w:t>
            </w:r>
          </w:p>
          <w:p>
            <w:pPr>
              <w:pStyle w:val="61"/>
            </w:pPr>
            <w:r>
              <w:rPr>
                <w:rFonts w:hint="eastAsia"/>
              </w:rPr>
              <w:t>2、</w:t>
            </w:r>
            <w:r>
              <w:t>具有</w:t>
            </w:r>
            <w:r>
              <w:rPr>
                <w:rFonts w:hint="eastAsia"/>
              </w:rPr>
              <w:t>建筑机电安装工程专业承包叁级以上资质</w:t>
            </w:r>
          </w:p>
          <w:p>
            <w:pPr>
              <w:pStyle w:val="61"/>
            </w:pPr>
            <w:r>
              <w:rPr>
                <w:rFonts w:hint="eastAsia"/>
              </w:rPr>
              <w:t>3、拟派项目经理应有二级建造师以上证照</w:t>
            </w:r>
          </w:p>
          <w:p>
            <w:pPr>
              <w:pStyle w:val="61"/>
            </w:pPr>
            <w:r>
              <w:rPr>
                <w:rFonts w:hint="eastAsia"/>
              </w:rPr>
              <w:t>4、投标人在近三年内（2018年</w:t>
            </w:r>
            <w:r>
              <w:rPr>
                <w:rFonts w:hint="eastAsia"/>
                <w:lang w:val="en-US" w:eastAsia="zh-CN"/>
              </w:rPr>
              <w:t>09</w:t>
            </w:r>
            <w:r>
              <w:rPr>
                <w:rFonts w:hint="eastAsia"/>
              </w:rPr>
              <w:t>月-投标截止</w:t>
            </w:r>
            <w:r>
              <w:t>时间</w:t>
            </w:r>
            <w:r>
              <w:rPr>
                <w:rFonts w:hint="eastAsia"/>
              </w:rPr>
              <w:t>）没有骗取中标和严重违约及重大工程质量问题；参加本采购活动前三年内，在经营活动中没有重大违法记录；</w:t>
            </w:r>
          </w:p>
          <w:p>
            <w:pPr>
              <w:pStyle w:val="61"/>
            </w:pPr>
            <w:r>
              <w:rPr>
                <w:rFonts w:hint="eastAsia"/>
              </w:rPr>
              <w:t>5、具有良好的商业信誉和健全的财务会计制度；</w:t>
            </w:r>
          </w:p>
          <w:p>
            <w:pPr>
              <w:pStyle w:val="61"/>
            </w:pPr>
            <w:r>
              <w:rPr>
                <w:rFonts w:hint="eastAsia"/>
              </w:rPr>
              <w:t>6、具有依法缴纳税收和社会保障资金的良好记录；</w:t>
            </w:r>
          </w:p>
          <w:p>
            <w:pPr>
              <w:pStyle w:val="61"/>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eastAsia"/>
                <w:u w:val="single"/>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pPr>
            <w:r>
              <w:rPr>
                <w:rFonts w:hint="eastAsia"/>
              </w:rPr>
              <w:t>北京清</w:t>
            </w:r>
            <w:r>
              <w:t>华长庚医院</w:t>
            </w:r>
            <w:r>
              <w:rPr>
                <w:rFonts w:hint="eastAsia"/>
              </w:rPr>
              <w:t>2</w:t>
            </w:r>
            <w:r>
              <w:t>#楼</w:t>
            </w:r>
            <w:r>
              <w:rPr>
                <w:rFonts w:hint="eastAsia"/>
              </w:rPr>
              <w:t>工务处</w:t>
            </w:r>
          </w:p>
          <w:p>
            <w:pPr>
              <w:pStyle w:val="61"/>
            </w:pPr>
            <w:r>
              <w:rPr>
                <w:rFonts w:hint="eastAsia"/>
              </w:rPr>
              <w:t>时  间：20</w:t>
            </w:r>
            <w:r>
              <w:t>2</w:t>
            </w:r>
            <w:r>
              <w:rPr>
                <w:rFonts w:hint="eastAsia"/>
              </w:rPr>
              <w:t>1年</w:t>
            </w:r>
            <w:r>
              <w:rPr>
                <w:rFonts w:hint="eastAsia"/>
                <w:u w:val="single"/>
              </w:rPr>
              <w:t xml:space="preserve"> 10 </w:t>
            </w:r>
            <w:r>
              <w:rPr>
                <w:rFonts w:hint="eastAsia"/>
              </w:rPr>
              <w:t>月</w:t>
            </w:r>
            <w:r>
              <w:rPr>
                <w:rFonts w:hint="eastAsia"/>
                <w:u w:val="single"/>
              </w:rPr>
              <w:t xml:space="preserve"> 1</w:t>
            </w:r>
            <w:r>
              <w:rPr>
                <w:rFonts w:hint="eastAsia"/>
                <w:u w:val="single"/>
                <w:lang w:val="en-US" w:eastAsia="zh-CN"/>
              </w:rPr>
              <w:t>9</w:t>
            </w:r>
            <w:r>
              <w:rPr>
                <w:rFonts w:hint="eastAsia"/>
                <w:u w:val="single"/>
              </w:rPr>
              <w:t xml:space="preserve"> </w:t>
            </w:r>
            <w:r>
              <w:rPr>
                <w:rFonts w:hint="eastAsia"/>
              </w:rPr>
              <w:t xml:space="preserve">日 </w:t>
            </w:r>
            <w:r>
              <w:rPr>
                <w:rFonts w:hint="eastAsia"/>
                <w:lang w:eastAsia="zh-CN"/>
              </w:rPr>
              <w:t>下</w:t>
            </w:r>
            <w:r>
              <w:rPr>
                <w:rFonts w:hint="eastAsia"/>
              </w:rPr>
              <w:t>午1</w:t>
            </w:r>
            <w:r>
              <w:rPr>
                <w:rFonts w:hint="eastAsia"/>
                <w:lang w:val="en-US" w:eastAsia="zh-CN"/>
              </w:rPr>
              <w:t>4</w:t>
            </w:r>
            <w:r>
              <w:rPr>
                <w:rFonts w:hint="eastAsia"/>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rPr>
            </w:pPr>
            <w:r>
              <w:rPr>
                <w:rFonts w:hint="eastAsia"/>
              </w:rPr>
              <w:t>开始时间：20</w:t>
            </w:r>
            <w:r>
              <w:t>2</w:t>
            </w:r>
            <w:r>
              <w:rPr>
                <w:rFonts w:hint="eastAsia"/>
              </w:rPr>
              <w:t>1年</w:t>
            </w:r>
            <w:r>
              <w:rPr>
                <w:rFonts w:hint="eastAsia"/>
                <w:u w:val="single"/>
              </w:rPr>
              <w:t xml:space="preserve"> 10  </w:t>
            </w:r>
            <w:r>
              <w:rPr>
                <w:rFonts w:hint="eastAsia"/>
              </w:rPr>
              <w:t>月</w:t>
            </w:r>
            <w:r>
              <w:rPr>
                <w:rFonts w:hint="eastAsia"/>
                <w:u w:val="single"/>
              </w:rPr>
              <w:t xml:space="preserve"> 1</w:t>
            </w:r>
            <w:r>
              <w:rPr>
                <w:rFonts w:hint="eastAsia"/>
                <w:u w:val="single"/>
                <w:lang w:val="en-US" w:eastAsia="zh-CN"/>
              </w:rPr>
              <w:t>9</w:t>
            </w:r>
            <w:r>
              <w:rPr>
                <w:rFonts w:hint="eastAsia"/>
                <w:u w:val="single"/>
              </w:rPr>
              <w:t xml:space="preserve"> </w:t>
            </w:r>
            <w:r>
              <w:rPr>
                <w:rFonts w:hint="eastAsia"/>
              </w:rPr>
              <w:t xml:space="preserve">日 </w:t>
            </w:r>
            <w:r>
              <w:rPr>
                <w:rFonts w:hint="eastAsia"/>
                <w:lang w:eastAsia="zh-CN"/>
              </w:rPr>
              <w:t>下</w:t>
            </w:r>
            <w:r>
              <w:rPr>
                <w:rFonts w:hint="eastAsia"/>
              </w:rPr>
              <w:t>午1</w:t>
            </w:r>
            <w:r>
              <w:rPr>
                <w:rFonts w:hint="eastAsia"/>
                <w:lang w:val="en-US" w:eastAsia="zh-CN"/>
              </w:rPr>
              <w:t>4</w:t>
            </w:r>
            <w:r>
              <w:rPr>
                <w:rFonts w:hint="eastAsia"/>
              </w:rPr>
              <w:t>:00时</w:t>
            </w:r>
          </w:p>
          <w:p>
            <w:pPr>
              <w:pStyle w:val="61"/>
            </w:pPr>
            <w:r>
              <w:rPr>
                <w:rFonts w:hint="eastAsia"/>
              </w:rPr>
              <w:t>地    点: 北京清</w:t>
            </w:r>
            <w:r>
              <w:t>华长庚医院</w:t>
            </w:r>
            <w:r>
              <w:rPr>
                <w:rFonts w:hint="eastAsia"/>
              </w:rPr>
              <w:t>2</w:t>
            </w:r>
            <w:r>
              <w:t>#楼</w:t>
            </w:r>
            <w:r>
              <w:rPr>
                <w:rFonts w:hint="eastAsia"/>
              </w:rPr>
              <w:t>3层会议</w:t>
            </w:r>
            <w:r>
              <w:t>室</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105" w:firstLineChars="5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shd w:val="clear" w:color="auto" w:fill="FFFFFF"/>
              </w:rPr>
              <w:t>157422.61</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元</w:t>
            </w:r>
          </w:p>
          <w:p>
            <w:pPr>
              <w:spacing w:line="312" w:lineRule="auto"/>
              <w:ind w:firstLine="0" w:firstLineChars="0"/>
            </w:pPr>
            <w:r>
              <w:rPr>
                <w:rFonts w:hint="eastAsia"/>
              </w:rPr>
              <w:t>（大写：</w:t>
            </w:r>
            <w:r>
              <w:rPr>
                <w:rFonts w:hint="eastAsia"/>
                <w:u w:val="single"/>
              </w:rPr>
              <w:t xml:space="preserve"> 拾伍万柒仟肆佰贰拾贰元陆角壹分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pPr>
            <w:r>
              <w:rPr>
                <w:rFonts w:hint="eastAsia"/>
              </w:rPr>
              <w:t>领</w:t>
            </w:r>
            <w:r>
              <w:t>取招标文件</w:t>
            </w:r>
            <w:r>
              <w:rPr>
                <w:rFonts w:ascii="宋体" w:hAnsi="宋体"/>
              </w:rPr>
              <w:t>时间：</w:t>
            </w:r>
            <w:r>
              <w:rPr>
                <w:rFonts w:hint="eastAsia" w:ascii="宋体" w:hAnsi="宋体"/>
              </w:rPr>
              <w:t>20</w:t>
            </w:r>
            <w:r>
              <w:rPr>
                <w:rFonts w:ascii="宋体" w:hAnsi="宋体"/>
              </w:rPr>
              <w:t>2</w:t>
            </w:r>
            <w:r>
              <w:rPr>
                <w:rFonts w:hint="eastAsia" w:ascii="宋体" w:hAnsi="宋体"/>
              </w:rPr>
              <w:t>1年</w:t>
            </w:r>
            <w:r>
              <w:rPr>
                <w:rFonts w:hint="eastAsia" w:ascii="宋体" w:hAnsi="宋体"/>
                <w:u w:val="single"/>
              </w:rPr>
              <w:t xml:space="preserve"> 10 </w:t>
            </w:r>
            <w:r>
              <w:rPr>
                <w:rFonts w:hint="eastAsia" w:ascii="宋体" w:hAnsi="宋体"/>
              </w:rPr>
              <w:t>月</w:t>
            </w:r>
            <w:r>
              <w:rPr>
                <w:rFonts w:hint="eastAsia" w:ascii="宋体" w:hAnsi="宋体"/>
                <w:u w:val="single"/>
              </w:rPr>
              <w:t xml:space="preserve"> 1</w:t>
            </w:r>
            <w:r>
              <w:rPr>
                <w:rFonts w:hint="eastAsia" w:ascii="宋体" w:hAnsi="宋体"/>
                <w:u w:val="single"/>
                <w:lang w:val="en-US" w:eastAsia="zh-CN"/>
              </w:rPr>
              <w:t xml:space="preserve">5 </w:t>
            </w:r>
            <w:r>
              <w:rPr>
                <w:rFonts w:hint="eastAsia" w:ascii="宋体" w:hAnsi="宋体"/>
              </w:rPr>
              <w:t>日</w:t>
            </w:r>
            <w:r>
              <w:rPr>
                <w:rFonts w:ascii="宋体" w:hAnsi="宋体"/>
              </w:rPr>
              <w:t>至</w:t>
            </w:r>
            <w:r>
              <w:rPr>
                <w:rFonts w:hint="eastAsia" w:ascii="宋体" w:hAnsi="宋体"/>
              </w:rPr>
              <w:t>20</w:t>
            </w:r>
            <w:r>
              <w:rPr>
                <w:rFonts w:ascii="宋体" w:hAnsi="宋体"/>
              </w:rPr>
              <w:t>2</w:t>
            </w:r>
            <w:r>
              <w:rPr>
                <w:rFonts w:hint="eastAsia" w:ascii="宋体" w:hAnsi="宋体"/>
              </w:rPr>
              <w:t>1年</w:t>
            </w:r>
            <w:r>
              <w:rPr>
                <w:rFonts w:hint="eastAsia" w:ascii="宋体" w:hAnsi="宋体"/>
                <w:u w:val="single"/>
              </w:rPr>
              <w:t xml:space="preserve">   </w:t>
            </w:r>
            <w:r>
              <w:rPr>
                <w:rFonts w:hint="eastAsia" w:ascii="宋体" w:hAnsi="宋体"/>
              </w:rPr>
              <w:t>月</w:t>
            </w:r>
            <w:r>
              <w:rPr>
                <w:rFonts w:hint="eastAsia" w:ascii="宋体" w:hAnsi="宋体"/>
                <w:u w:val="single"/>
              </w:rPr>
              <w:t xml:space="preserve"> 1</w:t>
            </w:r>
            <w:r>
              <w:rPr>
                <w:rFonts w:hint="eastAsia" w:ascii="宋体" w:hAnsi="宋体"/>
                <w:u w:val="single"/>
                <w:lang w:val="en-US" w:eastAsia="zh-CN"/>
              </w:rPr>
              <w:t>8</w:t>
            </w:r>
            <w:r>
              <w:rPr>
                <w:rFonts w:hint="eastAsia" w:ascii="宋体" w:hAnsi="宋体"/>
                <w:u w:val="single"/>
              </w:rPr>
              <w:t xml:space="preserve"> </w:t>
            </w:r>
            <w:r>
              <w:rPr>
                <w:rFonts w:hint="eastAsia" w:ascii="宋体" w:hAnsi="宋体"/>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（北京时间）。电话报名后可通过现场及网络方式获取招标文件。地点：北京清</w:t>
            </w:r>
            <w:r>
              <w:t>华长庚医院</w:t>
            </w:r>
            <w:r>
              <w:rPr>
                <w:rFonts w:hint="eastAsia"/>
              </w:rPr>
              <w:t>2</w:t>
            </w:r>
            <w:r>
              <w:t>#楼</w:t>
            </w:r>
            <w:r>
              <w:rPr>
                <w:rFonts w:hint="eastAsia"/>
              </w:rPr>
              <w:t>。联</w:t>
            </w:r>
            <w:r>
              <w:t>系人：</w:t>
            </w:r>
            <w:r>
              <w:rPr>
                <w:rFonts w:hint="eastAsia"/>
              </w:rPr>
              <w:t>李老师</w:t>
            </w:r>
            <w:r>
              <w:t>，联系电话：561188</w:t>
            </w:r>
            <w:r>
              <w:rPr>
                <w:rFonts w:hint="eastAsia"/>
              </w:rPr>
              <w:t>13</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rPr>
          <w:b/>
          <w:bCs w:val="0"/>
          <w:u w:val="single"/>
        </w:rPr>
      </w:pPr>
      <w:r>
        <w:rPr>
          <w:rFonts w:hint="eastAsia"/>
        </w:rPr>
        <w:t>工程概况：</w:t>
      </w:r>
    </w:p>
    <w:p>
      <w:pPr>
        <w:pStyle w:val="6"/>
        <w:numPr>
          <w:ilvl w:val="4"/>
          <w:numId w:val="0"/>
        </w:numPr>
        <w:ind w:firstLine="630" w:firstLineChars="300"/>
        <w:rPr>
          <w:b/>
          <w:bCs w:val="0"/>
          <w:u w:val="single"/>
        </w:rPr>
      </w:pPr>
      <w:r>
        <w:rPr>
          <w:rFonts w:hint="eastAsia"/>
        </w:rPr>
        <w:t>项目名称：</w:t>
      </w:r>
      <w:r>
        <w:rPr>
          <w:rFonts w:hint="eastAsia"/>
          <w:b/>
          <w:bCs w:val="0"/>
          <w:u w:val="single"/>
        </w:rPr>
        <w:t>1号楼4层手术区供应室安装分体空调案</w:t>
      </w:r>
    </w:p>
    <w:p>
      <w:pPr>
        <w:pStyle w:val="7"/>
        <w:ind w:firstLine="630" w:firstLineChars="300"/>
      </w:pPr>
      <w:r>
        <w:rPr>
          <w:rFonts w:hint="eastAsia"/>
        </w:rPr>
        <w:t>招 标 人：北京清华</w:t>
      </w:r>
      <w:r>
        <w:t>长庚</w:t>
      </w:r>
      <w:r>
        <w:rPr>
          <w:rFonts w:hint="eastAsia"/>
        </w:rPr>
        <w:t>医院</w:t>
      </w:r>
    </w:p>
    <w:p>
      <w:pPr>
        <w:pStyle w:val="7"/>
        <w:ind w:firstLine="630" w:firstLineChars="300"/>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8"/>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rPr>
          <w:color w:val="auto"/>
        </w:rPr>
      </w:pPr>
      <w:r>
        <w:rPr>
          <w:color w:val="auto"/>
        </w:rPr>
        <w:t>4.3.2</w:t>
      </w:r>
      <w:r>
        <w:rPr>
          <w:rFonts w:hint="eastAsia"/>
          <w:color w:val="auto"/>
        </w:rPr>
        <w:t>为</w:t>
      </w:r>
      <w:r>
        <w:rPr>
          <w:color w:val="auto"/>
        </w:rPr>
        <w:t>本招标项目前期准备提供设计或咨询服务的。</w:t>
      </w:r>
    </w:p>
    <w:p>
      <w:pPr>
        <w:pStyle w:val="7"/>
      </w:pPr>
      <w:r>
        <w:rPr>
          <w:rFonts w:hint="eastAsia"/>
        </w:rPr>
        <w:t>4</w:t>
      </w:r>
      <w:r>
        <w:t>.3.3</w:t>
      </w:r>
      <w:r>
        <w:rPr>
          <w:rFonts w:hint="eastAsia"/>
        </w:rPr>
        <w:t>为</w:t>
      </w:r>
      <w:r>
        <w:t>本招标项目的监理人的。</w:t>
      </w:r>
    </w:p>
    <w:p>
      <w:pPr>
        <w:pStyle w:val="8"/>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rPr>
          <w:color w:val="auto"/>
        </w:rPr>
      </w:pPr>
      <w:r>
        <w:rPr>
          <w:rFonts w:hint="eastAsia"/>
          <w:color w:val="auto"/>
        </w:rPr>
        <w:t>承诺书</w:t>
      </w:r>
      <w:r>
        <w:rPr>
          <w:color w:val="auto"/>
        </w:rPr>
        <w:t>：</w:t>
      </w:r>
      <w:r>
        <w:rPr>
          <w:rFonts w:hint="eastAsia"/>
          <w:color w:val="auto"/>
        </w:rPr>
        <w:t>投标人在近三年内（2018年</w:t>
      </w:r>
      <w:r>
        <w:rPr>
          <w:color w:val="auto"/>
        </w:rPr>
        <w:t>0</w:t>
      </w:r>
      <w:r>
        <w:rPr>
          <w:rFonts w:hint="eastAsia"/>
          <w:color w:val="auto"/>
        </w:rPr>
        <w:t>9月-投标截止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8"/>
        <w:rPr>
          <w:color w:val="auto"/>
        </w:rPr>
      </w:pPr>
      <w:r>
        <w:rPr>
          <w:rFonts w:hint="eastAsia"/>
          <w:color w:val="auto"/>
        </w:rPr>
        <w:t>拟派项目经理学历证书、</w:t>
      </w:r>
      <w:r>
        <w:rPr>
          <w:color w:val="auto"/>
        </w:rPr>
        <w:t>资格证书</w:t>
      </w:r>
      <w:r>
        <w:rPr>
          <w:rFonts w:hint="eastAsia"/>
          <w:color w:val="auto"/>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7"/>
        <w:ind w:firstLine="420" w:firstLineChars="200"/>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7"/>
        <w:ind w:firstLine="420" w:firstLineChars="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7"/>
        <w:ind w:firstLine="420" w:firstLineChars="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7"/>
        <w:ind w:firstLine="420" w:firstLineChars="200"/>
      </w:pPr>
      <w:r>
        <w:rPr>
          <w:rFonts w:hint="eastAsia"/>
        </w:rPr>
        <w:t>（6</w:t>
      </w:r>
      <w:r>
        <w:t>）</w:t>
      </w:r>
      <w:r>
        <w:rPr>
          <w:rFonts w:hint="eastAsia"/>
        </w:rPr>
        <w:t>措施</w:t>
      </w:r>
      <w:r>
        <w:t>项目清单与计价表</w:t>
      </w:r>
      <w:r>
        <w:rPr>
          <w:rFonts w:hint="eastAsia"/>
        </w:rPr>
        <w:t>（一</w:t>
      </w:r>
      <w:r>
        <w:t>）</w:t>
      </w:r>
      <w:r>
        <w:rPr>
          <w:rFonts w:hint="eastAsia"/>
        </w:rPr>
        <w:t>(表-08)</w:t>
      </w:r>
    </w:p>
    <w:p>
      <w:pPr>
        <w:pStyle w:val="7"/>
        <w:ind w:firstLine="420" w:firstLineChars="200"/>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7"/>
        <w:ind w:firstLine="420" w:firstLineChars="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pPr>
      <w:r>
        <w:rPr>
          <w:rFonts w:hint="eastAsia"/>
        </w:rPr>
        <w:t>（1</w:t>
      </w:r>
      <w:r>
        <w:t>0</w:t>
      </w:r>
      <w:r>
        <w:rPr>
          <w:rFonts w:hint="eastAsia"/>
        </w:rPr>
        <w:t>）主</w:t>
      </w:r>
      <w: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7"/>
        <w:ind w:firstLine="420" w:firstLineChars="200"/>
      </w:pPr>
      <w:r>
        <w:rPr>
          <w:rFonts w:hint="eastAsia"/>
        </w:rPr>
        <w:t>（</w:t>
      </w:r>
      <w:r>
        <w:t>3）</w:t>
      </w:r>
      <w:r>
        <w:rPr>
          <w:rFonts w:hint="eastAsia"/>
        </w:rPr>
        <w:t>计划开、竣工日期和施工进度网络图（必须提交网络图），施工进度的保证措施；</w:t>
      </w:r>
    </w:p>
    <w:p>
      <w:pPr>
        <w:pStyle w:val="7"/>
        <w:ind w:firstLine="420" w:firstLineChars="200"/>
      </w:pPr>
      <w:r>
        <w:rPr>
          <w:rFonts w:hint="eastAsia"/>
        </w:rPr>
        <w:t>（</w:t>
      </w:r>
      <w:r>
        <w:t>4）</w:t>
      </w:r>
      <w:r>
        <w:rPr>
          <w:rFonts w:hint="eastAsia"/>
        </w:rPr>
        <w:t>针对本工程的施工技术方案、重点难点方案，施工质量的保证措施；</w:t>
      </w:r>
    </w:p>
    <w:p>
      <w:pPr>
        <w:pStyle w:val="7"/>
        <w:ind w:firstLine="420" w:firstLineChars="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。招标文件中确定的工程项目</w:t>
      </w:r>
      <w:r>
        <w:rPr>
          <w:rFonts w:hint="eastAsia" w:ascii="Arial" w:hAnsi="Arial" w:cs="Arial"/>
          <w:szCs w:val="21"/>
        </w:rPr>
        <w:t>招标</w:t>
      </w:r>
      <w:r>
        <w:rPr>
          <w:rFonts w:ascii="Arial" w:hAnsi="Arial" w:cs="Arial"/>
          <w:szCs w:val="21"/>
        </w:rPr>
        <w:t>范围、工程量清单不予调整</w:t>
      </w:r>
      <w:r>
        <w:rPr>
          <w:rFonts w:hint="eastAsia" w:ascii="Arial" w:hAnsi="Arial" w:cs="Arial"/>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ind w:right="28"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w:t>
      </w:r>
      <w:r>
        <w:rPr>
          <w:rFonts w:hint="eastAsia"/>
          <w:u w:val="single"/>
        </w:rPr>
        <w:t xml:space="preserve"> </w:t>
      </w:r>
      <w:r>
        <w:rPr>
          <w:rFonts w:hint="eastAsia" w:asciiTheme="minorEastAsia" w:hAnsiTheme="minorEastAsia" w:eastAsiaTheme="minorEastAsia" w:cstheme="minorEastAsia"/>
          <w:szCs w:val="21"/>
          <w:u w:val="single"/>
          <w:shd w:val="clear" w:color="auto" w:fill="FFFFFF"/>
        </w:rPr>
        <w:t>157422.61</w:t>
      </w:r>
      <w:r>
        <w:rPr>
          <w:rFonts w:hint="eastAsia"/>
          <w:u w:val="single"/>
        </w:rPr>
        <w:t xml:space="preserve"> </w:t>
      </w:r>
      <w:r>
        <w:rPr>
          <w:rFonts w:hint="eastAsia"/>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rPr>
          <w:color w:val="auto"/>
        </w:rPr>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rPr>
          <w:color w:val="auto"/>
        </w:rPr>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rPr>
          <w:color w:val="auto"/>
        </w:rPr>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rPr>
          <w:color w:val="auto"/>
        </w:rPr>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rPr>
          <w:color w:val="auto"/>
        </w:rPr>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138740209"/>
      <w:bookmarkStart w:id="14" w:name="_Toc79682142"/>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jc w:val="both"/>
        <w:rPr>
          <w:bCs/>
          <w:sz w:val="18"/>
          <w:szCs w:val="18"/>
        </w:rPr>
      </w:pPr>
      <w:r>
        <w:br w:type="page"/>
      </w:r>
    </w:p>
    <w:p>
      <w:pPr>
        <w:ind w:firstLine="460"/>
        <w:rPr>
          <w:rFonts w:ascii="Tahoma" w:hAnsi="Tahoma" w:cs="Tahoma"/>
          <w:sz w:val="23"/>
          <w:szCs w:val="23"/>
        </w:rPr>
      </w:pPr>
    </w:p>
    <w:p>
      <w:pPr>
        <w:pStyle w:val="38"/>
        <w:wordWrap w:val="0"/>
        <w:spacing w:before="192" w:beforeAutospacing="0"/>
        <w:ind w:firstLine="361"/>
        <w:jc w:val="center"/>
        <w:rPr>
          <w:sz w:val="18"/>
          <w:szCs w:val="18"/>
        </w:rPr>
      </w:pPr>
      <w:r>
        <w:rPr>
          <w:b/>
          <w:bCs/>
          <w:sz w:val="18"/>
          <w:szCs w:val="18"/>
        </w:rPr>
        <w:t>编号：</w:t>
      </w:r>
    </w:p>
    <w:p>
      <w:pPr>
        <w:wordWrap w:val="0"/>
        <w:ind w:firstLine="360"/>
        <w:rPr>
          <w:sz w:val="18"/>
          <w:szCs w:val="18"/>
        </w:rPr>
      </w:pPr>
    </w:p>
    <w:p>
      <w:pPr>
        <w:pStyle w:val="38"/>
        <w:tabs>
          <w:tab w:val="left" w:pos="540"/>
        </w:tabs>
        <w:ind w:firstLine="643"/>
        <w:jc w:val="center"/>
        <w:rPr>
          <w:sz w:val="32"/>
          <w:szCs w:val="18"/>
        </w:rPr>
      </w:pPr>
      <w:r>
        <w:rPr>
          <w:b/>
          <w:bCs/>
          <w:sz w:val="32"/>
          <w:szCs w:val="18"/>
        </w:rPr>
        <w:t>北京市建设工程施工合同</w:t>
      </w:r>
    </w:p>
    <w:p>
      <w:pPr>
        <w:wordWrap w:val="0"/>
        <w:ind w:firstLine="360"/>
        <w:rPr>
          <w:sz w:val="18"/>
          <w:szCs w:val="18"/>
        </w:rPr>
      </w:pPr>
    </w:p>
    <w:p>
      <w:pPr>
        <w:pStyle w:val="38"/>
        <w:wordWrap w:val="0"/>
        <w:ind w:firstLine="482"/>
        <w:jc w:val="center"/>
        <w:rPr>
          <w:szCs w:val="18"/>
        </w:rPr>
      </w:pPr>
      <w:r>
        <w:rPr>
          <w:b/>
          <w:bCs/>
          <w:szCs w:val="18"/>
        </w:rPr>
        <w:t>（小型工程本）</w:t>
      </w: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pStyle w:val="38"/>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ype="textWrapping"/>
      </w:r>
      <w:r>
        <w:rPr>
          <w:b/>
        </w:rPr>
        <w:t>承 包 方：</w:t>
      </w:r>
      <w:r>
        <w:rPr>
          <w:rFonts w:hint="eastAsia"/>
        </w:rPr>
        <w:t>（乙方）</w:t>
      </w:r>
      <w:r>
        <w:rPr>
          <w:b/>
        </w:rPr>
        <w:br w:type="textWrapping"/>
      </w:r>
      <w:r>
        <w:rPr>
          <w:b/>
        </w:rPr>
        <w:t>工程名称：</w:t>
      </w:r>
      <w:r>
        <w:rPr>
          <w:b/>
          <w:sz w:val="21"/>
          <w:szCs w:val="21"/>
        </w:rPr>
        <w:br w:type="textWrapping"/>
      </w:r>
      <w:r>
        <w:rPr>
          <w:b/>
        </w:rPr>
        <w:t>工程地点：</w:t>
      </w:r>
      <w:r>
        <w:rPr>
          <w:u w:val="single"/>
        </w:rPr>
        <w:t>_________________________</w:t>
      </w:r>
      <w:r>
        <w:rPr>
          <w:b/>
          <w:u w:val="single"/>
        </w:rPr>
        <w:br w:type="textWrapping"/>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ype="textWrapping"/>
      </w:r>
      <w:r>
        <w:rPr>
          <w:b/>
        </w:rP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ype="textWrapping"/>
      </w:r>
      <w:r>
        <w:rPr>
          <w:b/>
        </w:rPr>
        <w:t>批准文号：（有权机关批准工程立项的文号）_______</w:t>
      </w:r>
      <w:r>
        <w:rPr>
          <w:rFonts w:hint="eastAsia"/>
          <w:u w:val="single"/>
        </w:rPr>
        <w:t>/</w:t>
      </w:r>
      <w:r>
        <w:rPr>
          <w:b/>
        </w:rPr>
        <w:t>_________</w:t>
      </w:r>
      <w:r>
        <w:rPr>
          <w:b/>
        </w:rPr>
        <w:br w:type="textWrapping"/>
      </w:r>
      <w:r>
        <w:rPr>
          <w:b/>
        </w:rPr>
        <w:t>工程性质：（指基建、技改、合资等）：_________</w:t>
      </w:r>
      <w:r>
        <w:rPr>
          <w:rFonts w:hint="eastAsia"/>
          <w:u w:val="single"/>
        </w:rPr>
        <w:t>/</w:t>
      </w:r>
      <w:r>
        <w:rPr>
          <w:b/>
        </w:rPr>
        <w:t>___________</w:t>
      </w:r>
      <w:r>
        <w:rPr>
          <w:b/>
        </w:rPr>
        <w:br w:type="textWrapping"/>
      </w:r>
      <w:r>
        <w:rPr>
          <w:b/>
        </w:rPr>
        <w:t>承包范围：</w:t>
      </w:r>
      <w:r>
        <w:rPr>
          <w:rFonts w:hint="eastAsia"/>
          <w:color w:val="FF0000"/>
          <w:u w:val="single"/>
        </w:rPr>
        <w:t>具体见工程概预算书</w:t>
      </w:r>
      <w:r>
        <w:rPr>
          <w:b/>
        </w:rPr>
        <w:br w:type="textWrapping"/>
      </w:r>
      <w:r>
        <w:rPr>
          <w:b/>
        </w:rPr>
        <w:t>承包方式：</w:t>
      </w:r>
      <w:r>
        <w:rPr>
          <w:u w:val="words"/>
        </w:rPr>
        <w:t>_______</w:t>
      </w:r>
      <w:r>
        <w:rPr>
          <w:rFonts w:hint="eastAsia"/>
          <w:u w:val="words"/>
        </w:rPr>
        <w:t>包工包料</w:t>
      </w:r>
      <w:r>
        <w:rPr>
          <w:u w:val="words"/>
        </w:rPr>
        <w:t>_</w:t>
      </w:r>
      <w:r>
        <w:rPr>
          <w:b/>
        </w:rPr>
        <w:br w:type="textWrapping"/>
      </w:r>
      <w:r>
        <w:rPr>
          <w:b/>
        </w:rPr>
        <w:t>质量等级（优良或合格）：</w:t>
      </w:r>
      <w:r>
        <w:rPr>
          <w:u w:val="words"/>
        </w:rPr>
        <w:t>___</w:t>
      </w:r>
      <w:r>
        <w:rPr>
          <w:rFonts w:hint="eastAsia"/>
          <w:u w:val="words"/>
        </w:rPr>
        <w:t>合格</w:t>
      </w:r>
      <w:r>
        <w:rPr>
          <w:u w:val="words"/>
        </w:rPr>
        <w:t>___________________________</w:t>
      </w:r>
      <w:r>
        <w:rPr>
          <w:b/>
        </w:rPr>
        <w:br w:type="textWrapping"/>
      </w:r>
      <w:r>
        <w:rPr>
          <w:b/>
        </w:rPr>
        <w:t>工程承包造价：</w:t>
      </w:r>
      <w:r>
        <w:rPr>
          <w:rFonts w:hint="eastAsia"/>
        </w:rPr>
        <w:t>合同未税总金额为：¥元整（大写：人民币元整），税率为：，税金为：¥元整（大写：人民币元整），含税总金额为：¥元整（大写：人民币元整）</w:t>
      </w:r>
    </w:p>
    <w:p>
      <w:pPr>
        <w:pStyle w:val="38"/>
        <w:wordWrap w:val="0"/>
        <w:ind w:right="960" w:firstLine="480"/>
        <w:jc w:val="center"/>
        <w:rPr>
          <w:szCs w:val="18"/>
        </w:rPr>
      </w:pPr>
    </w:p>
    <w:p>
      <w:pPr>
        <w:wordWrap w:val="0"/>
        <w:ind w:firstLine="480"/>
        <w:rPr>
          <w:sz w:val="24"/>
          <w:szCs w:val="18"/>
        </w:rPr>
      </w:pPr>
    </w:p>
    <w:p>
      <w:pPr>
        <w:wordWrap w:val="0"/>
        <w:ind w:firstLine="360"/>
        <w:rPr>
          <w:sz w:val="18"/>
          <w:szCs w:val="18"/>
        </w:rPr>
      </w:pPr>
    </w:p>
    <w:tbl>
      <w:tblPr>
        <w:tblStyle w:val="41"/>
        <w:tblpPr w:vertAnchor="text" w:tblpY="1"/>
        <w:tblW w:w="82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PrEx>
        <w:trPr>
          <w:tblCellSpacing w:w="0" w:type="dxa"/>
        </w:trPr>
        <w:tc>
          <w:tcPr>
            <w:tcW w:w="8280" w:type="dxa"/>
            <w:tcBorders>
              <w:top w:val="outset" w:color="auto" w:sz="6" w:space="0"/>
              <w:left w:val="outset" w:color="auto" w:sz="6" w:space="0"/>
              <w:bottom w:val="outset" w:color="auto" w:sz="6" w:space="0"/>
              <w:right w:val="outset" w:color="auto" w:sz="6" w:space="0"/>
            </w:tcBorders>
            <w:vAlign w:val="center"/>
          </w:tcPr>
          <w:p>
            <w:pPr>
              <w:spacing w:after="240"/>
              <w:ind w:firstLine="420"/>
            </w:pPr>
          </w:p>
          <w:p>
            <w:pPr>
              <w:pStyle w:val="38"/>
              <w:ind w:firstLine="480"/>
              <w:jc w:val="center"/>
            </w:pPr>
            <w:r>
              <w:t>（贴印花税票处）</w:t>
            </w: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p>
            <w:pPr>
              <w:pStyle w:val="38"/>
              <w:ind w:firstLine="480"/>
              <w:jc w:val="center"/>
            </w:pPr>
          </w:p>
        </w:tc>
      </w:tr>
    </w:tbl>
    <w:p>
      <w:pPr>
        <w:wordWrap w:val="0"/>
        <w:ind w:firstLine="360"/>
        <w:rPr>
          <w:sz w:val="18"/>
          <w:szCs w:val="18"/>
        </w:rPr>
      </w:pPr>
    </w:p>
    <w:p>
      <w:pPr>
        <w:pStyle w:val="38"/>
        <w:spacing w:before="0" w:beforeAutospacing="0" w:after="0" w:afterAutospacing="0"/>
        <w:ind w:firstLine="480"/>
        <w:rPr>
          <w:szCs w:val="18"/>
        </w:rPr>
      </w:pP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8"/>
        <w:spacing w:before="0" w:beforeAutospacing="0" w:after="0" w:afterAutospacing="0"/>
        <w:ind w:firstLine="723"/>
        <w:jc w:val="center"/>
        <w:rPr>
          <w:sz w:val="36"/>
          <w:szCs w:val="36"/>
        </w:rPr>
      </w:pPr>
      <w:r>
        <w:rPr>
          <w:b/>
          <w:bCs/>
          <w:sz w:val="36"/>
          <w:szCs w:val="36"/>
        </w:rPr>
        <w:t>北京市建设工程施工合同协议条款</w:t>
      </w:r>
    </w:p>
    <w:p>
      <w:pPr>
        <w:ind w:firstLine="480"/>
        <w:rPr>
          <w:sz w:val="24"/>
          <w:szCs w:val="18"/>
        </w:rPr>
      </w:pPr>
    </w:p>
    <w:p>
      <w:pPr>
        <w:pStyle w:val="38"/>
        <w:spacing w:before="0" w:beforeAutospacing="0" w:after="0" w:afterAutospacing="0"/>
        <w:ind w:firstLine="480"/>
        <w:rPr>
          <w:szCs w:val="18"/>
          <w:u w:val="single"/>
        </w:rPr>
      </w:pPr>
      <w:r>
        <w:t>　依照《中华人民共和国合同法》、《中华人民共和国建筑法》及其它有关法律、行政法规，就本项工程建设有关事项，遵循平等、自愿、公平和诚实信用的原则，经双方协商达成如下协议：</w:t>
      </w:r>
      <w:r>
        <w:rPr>
          <w:b/>
          <w:bCs/>
        </w:rPr>
        <w:br w:type="textWrapping"/>
      </w:r>
      <w:r>
        <w:rPr>
          <w:b/>
          <w:bCs/>
        </w:rPr>
        <w:t>    第1条 工期</w:t>
      </w:r>
      <w:r>
        <w:rPr>
          <w:b/>
          <w:bCs/>
        </w:rPr>
        <w:br w:type="textWrapping"/>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ype="textWrapping"/>
      </w:r>
      <w:r>
        <w:t>    1·2  承包方为提前工期采取的相应措施及因此增加的经济支出：</w:t>
      </w:r>
      <w:r>
        <w:rPr>
          <w:rFonts w:hint="eastAsia"/>
          <w:u w:val="single"/>
        </w:rPr>
        <w:t xml:space="preserve">   / </w:t>
      </w:r>
    </w:p>
    <w:p>
      <w:pPr>
        <w:pStyle w:val="38"/>
        <w:spacing w:before="0" w:beforeAutospacing="0" w:after="0" w:afterAutospacing="0"/>
        <w:ind w:firstLine="480"/>
        <w:rPr>
          <w:szCs w:val="18"/>
          <w:u w:val="single"/>
        </w:rPr>
      </w:pPr>
      <w:r>
        <w:rPr>
          <w:rFonts w:hint="eastAsia"/>
          <w:szCs w:val="18"/>
          <w:u w:val="single"/>
        </w:rPr>
        <w:t xml:space="preserve">                         /                                    </w:t>
      </w:r>
    </w:p>
    <w:p>
      <w:pPr>
        <w:pStyle w:val="38"/>
        <w:spacing w:before="0" w:beforeAutospacing="0" w:after="0" w:afterAutospacing="0"/>
        <w:ind w:firstLine="480"/>
      </w:pPr>
      <w:r>
        <w:t>1·3 工期提前或延误的奖罚，由双方协商后在合同中约定：</w:t>
      </w:r>
      <w:r>
        <w:rPr>
          <w:rFonts w:hint="eastAsia"/>
        </w:rPr>
        <w:t xml:space="preserve">    /        </w:t>
      </w:r>
    </w:p>
    <w:p>
      <w:pPr>
        <w:pStyle w:val="38"/>
        <w:spacing w:before="0" w:beforeAutospacing="0" w:after="0" w:afterAutospacing="0"/>
        <w:ind w:firstLine="480"/>
      </w:pPr>
      <w:r>
        <w:rPr>
          <w:rFonts w:hint="eastAsia"/>
        </w:rPr>
        <w:t xml:space="preserve">                             /                                    </w:t>
      </w:r>
    </w:p>
    <w:p>
      <w:pPr>
        <w:pStyle w:val="38"/>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pPr>
        <w:pStyle w:val="38"/>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pPr>
        <w:pStyle w:val="38"/>
        <w:spacing w:before="0" w:beforeAutospacing="0" w:after="0" w:afterAutospacing="0"/>
        <w:ind w:firstLine="482"/>
        <w:rPr>
          <w:szCs w:val="18"/>
        </w:rPr>
      </w:pPr>
      <w:r>
        <w:rPr>
          <w:b/>
          <w:bCs/>
        </w:rPr>
        <w:t>第4条 发包人工作</w:t>
      </w:r>
      <w:r>
        <w:br w:type="textWrapping"/>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pPr>
        <w:pStyle w:val="38"/>
        <w:spacing w:before="0" w:beforeAutospacing="0" w:after="0" w:afterAutospacing="0"/>
        <w:ind w:firstLine="482"/>
        <w:rPr>
          <w:szCs w:val="18"/>
        </w:rPr>
      </w:pPr>
      <w:r>
        <w:rPr>
          <w:b/>
          <w:bCs/>
        </w:rPr>
        <w:t>第5条 承包人工作</w:t>
      </w:r>
      <w:r>
        <w:br w:type="textWrapping"/>
      </w:r>
      <w:r>
        <w:t>　　5·1 每月</w:t>
      </w:r>
      <w:r>
        <w:rPr>
          <w:u w:val="words"/>
        </w:rPr>
        <w:t>_</w:t>
      </w:r>
      <w:r>
        <w:rPr>
          <w:rFonts w:hint="eastAsia"/>
          <w:u w:val="words"/>
        </w:rPr>
        <w:t>/</w:t>
      </w:r>
      <w:r>
        <w:rPr>
          <w:u w:val="words"/>
        </w:rPr>
        <w:t>_____</w:t>
      </w:r>
      <w:r>
        <w:t>日向发包方报送月度施工计划和己完工程进度统计报表。</w:t>
      </w:r>
      <w:r>
        <w:br w:type="textWrapping"/>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ype="textWrapping"/>
      </w:r>
      <w:r>
        <w:t>　　承包方不按合同约定完成各项工作时，应承担由此造成的经济损失，工期不予顺延。</w:t>
      </w:r>
    </w:p>
    <w:p>
      <w:pPr>
        <w:pStyle w:val="38"/>
        <w:spacing w:before="0" w:beforeAutospacing="0" w:after="0" w:afterAutospacing="0"/>
        <w:ind w:firstLine="482"/>
        <w:rPr>
          <w:szCs w:val="18"/>
        </w:rPr>
      </w:pPr>
      <w:r>
        <w:rPr>
          <w:b/>
          <w:bCs/>
        </w:rPr>
        <w:t>第6条 工程质量检查及验收。</w:t>
      </w:r>
      <w:r>
        <w:br w:type="textWrapping"/>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ype="textWrapping"/>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ype="textWrapping"/>
      </w:r>
      <w:r>
        <w:t>　　发包方、承包方办理工程竣工验收手续后，承包人应按法律、行政法规或国家关于工程质量保修的有关规定，对交付发包人使用的工程在质量保修期内承担质量保修责任。</w:t>
      </w:r>
    </w:p>
    <w:p>
      <w:pPr>
        <w:ind w:firstLine="480"/>
        <w:rPr>
          <w:rFonts w:ascii="宋体"/>
          <w:kern w:val="0"/>
          <w:sz w:val="24"/>
          <w:u w:val="single"/>
        </w:rPr>
      </w:pPr>
      <w:r>
        <w:rPr>
          <w:rFonts w:ascii="宋体"/>
          <w:kern w:val="0"/>
          <w:sz w:val="24"/>
        </w:rPr>
        <w:t>第7条 设计变更及合同价款的调整</w:t>
      </w:r>
      <w:r>
        <w:rPr>
          <w:szCs w:val="18"/>
        </w:rPr>
        <w:br w:type="textWrapping"/>
      </w:r>
      <w:r>
        <w:rPr>
          <w:rFonts w:ascii="宋体"/>
          <w:kern w:val="0"/>
          <w:sz w:val="24"/>
        </w:rPr>
        <w:t>　　7·1 施工中对原设计进行变更，</w:t>
      </w:r>
      <w:r>
        <w:rPr>
          <w:rFonts w:hint="eastAsia" w:ascii="宋体"/>
          <w:kern w:val="0"/>
          <w:sz w:val="24"/>
        </w:rPr>
        <w:t>都需</w:t>
      </w:r>
      <w:r>
        <w:rPr>
          <w:rFonts w:ascii="宋体"/>
          <w:kern w:val="0"/>
          <w:sz w:val="24"/>
        </w:rPr>
        <w:t>经</w:t>
      </w:r>
      <w:r>
        <w:rPr>
          <w:rFonts w:hint="eastAsia" w:ascii="宋体"/>
          <w:kern w:val="0"/>
          <w:sz w:val="24"/>
        </w:rPr>
        <w:t>发包方</w:t>
      </w:r>
      <w:r>
        <w:rPr>
          <w:rFonts w:ascii="宋体"/>
          <w:kern w:val="0"/>
          <w:sz w:val="24"/>
        </w:rPr>
        <w:t>批准后</w:t>
      </w:r>
      <w:r>
        <w:rPr>
          <w:rFonts w:hint="eastAsia" w:ascii="宋体"/>
          <w:kern w:val="0"/>
          <w:sz w:val="24"/>
        </w:rPr>
        <w:t>实施。</w:t>
      </w:r>
      <w:r>
        <w:rPr>
          <w:rFonts w:ascii="宋体"/>
          <w:kern w:val="0"/>
          <w:sz w:val="24"/>
        </w:rPr>
        <w:t>承包方按通知进行变更，并于</w:t>
      </w:r>
      <w:r>
        <w:rPr>
          <w:rFonts w:hint="eastAsia" w:ascii="宋体"/>
          <w:kern w:val="0"/>
          <w:sz w:val="24"/>
        </w:rPr>
        <w:t>7</w:t>
      </w:r>
      <w:r>
        <w:rPr>
          <w:rFonts w:ascii="宋体"/>
          <w:kern w:val="0"/>
          <w:sz w:val="24"/>
        </w:rPr>
        <w:t>天内提出变更价款报告的完整资料，因变更导致的经济支出和损失</w:t>
      </w:r>
      <w:r>
        <w:rPr>
          <w:rFonts w:hint="eastAsia" w:ascii="宋体"/>
          <w:kern w:val="0"/>
          <w:sz w:val="24"/>
        </w:rPr>
        <w:t>双方协商解决。</w:t>
      </w:r>
      <w:r>
        <w:rPr>
          <w:rFonts w:ascii="宋体"/>
          <w:kern w:val="0"/>
          <w:sz w:val="24"/>
        </w:rPr>
        <w:br w:type="textWrapping"/>
      </w:r>
      <w:r>
        <w:rPr>
          <w:rFonts w:ascii="宋体"/>
          <w:kern w:val="0"/>
          <w:sz w:val="24"/>
        </w:rPr>
        <w:t>　　7·2 本工程</w:t>
      </w:r>
      <w:r>
        <w:rPr>
          <w:rFonts w:hint="eastAsia" w:ascii="宋体"/>
          <w:kern w:val="0"/>
          <w:sz w:val="24"/>
        </w:rPr>
        <w:t>合同价格形式为总价合同。</w:t>
      </w:r>
    </w:p>
    <w:p>
      <w:pPr>
        <w:ind w:firstLine="480"/>
        <w:rPr>
          <w:rFonts w:ascii="宋体"/>
          <w:kern w:val="0"/>
          <w:sz w:val="24"/>
        </w:rPr>
      </w:pPr>
      <w:r>
        <w:rPr>
          <w:rFonts w:ascii="宋体"/>
          <w:kern w:val="0"/>
          <w:sz w:val="24"/>
        </w:rPr>
        <w:t>第8条 工程价款及结算</w:t>
      </w:r>
    </w:p>
    <w:p>
      <w:pPr>
        <w:ind w:firstLine="480"/>
        <w:rPr>
          <w:rFonts w:ascii="宋体"/>
          <w:kern w:val="0"/>
          <w:sz w:val="24"/>
        </w:rPr>
      </w:pPr>
      <w:r>
        <w:rPr>
          <w:rFonts w:hint="eastAsia" w:ascii="宋体"/>
          <w:kern w:val="0"/>
          <w:sz w:val="24"/>
        </w:rPr>
        <w:t>8.1合</w:t>
      </w:r>
      <w:r>
        <w:rPr>
          <w:rFonts w:ascii="宋体"/>
          <w:kern w:val="0"/>
          <w:sz w:val="24"/>
        </w:rPr>
        <w:t>同</w:t>
      </w:r>
      <w:r>
        <w:rPr>
          <w:rFonts w:hint="eastAsia" w:ascii="宋体"/>
          <w:kern w:val="0"/>
          <w:sz w:val="24"/>
        </w:rPr>
        <w:t>金额（大写）：合同未税总金额为：¥元整（大写：人民币元整），税率为：，税金为：¥元整（大写：人民币元整），含税总金额为：¥元整（大写：人民币元整）。</w:t>
      </w:r>
    </w:p>
    <w:p>
      <w:pPr>
        <w:ind w:firstLine="480"/>
        <w:rPr>
          <w:rFonts w:ascii="宋体"/>
          <w:kern w:val="0"/>
          <w:sz w:val="24"/>
        </w:rPr>
      </w:pPr>
      <w:r>
        <w:rPr>
          <w:rFonts w:hint="eastAsia" w:ascii="宋体"/>
          <w:kern w:val="0"/>
          <w:sz w:val="24"/>
        </w:rPr>
        <w:t>其中，安全防护、文明施工措施费为：（大写）</w:t>
      </w:r>
      <w:r>
        <w:rPr>
          <w:rFonts w:hint="eastAsia" w:ascii="宋体"/>
          <w:kern w:val="0"/>
          <w:sz w:val="24"/>
          <w:u w:val="single"/>
        </w:rPr>
        <w:t xml:space="preserve">：    </w:t>
      </w:r>
      <w:r>
        <w:rPr>
          <w:rFonts w:hint="eastAsia" w:ascii="宋体"/>
          <w:kern w:val="0"/>
          <w:sz w:val="24"/>
        </w:rPr>
        <w:t>元（人民币）</w:t>
      </w:r>
    </w:p>
    <w:p>
      <w:pPr>
        <w:ind w:firstLine="4560" w:firstLineChars="1900"/>
        <w:rPr>
          <w:rFonts w:ascii="宋体"/>
          <w:kern w:val="0"/>
          <w:sz w:val="24"/>
        </w:rPr>
      </w:pPr>
      <w:r>
        <w:rPr>
          <w:rFonts w:hint="eastAsia" w:ascii="宋体"/>
          <w:kern w:val="0"/>
          <w:sz w:val="24"/>
        </w:rPr>
        <w:t>（小写）</w:t>
      </w:r>
      <w:r>
        <w:rPr>
          <w:rFonts w:hint="eastAsia" w:ascii="宋体"/>
          <w:kern w:val="0"/>
          <w:sz w:val="24"/>
          <w:u w:val="single"/>
        </w:rPr>
        <w:t xml:space="preserve">：     </w:t>
      </w:r>
      <w:r>
        <w:rPr>
          <w:rFonts w:hint="eastAsia" w:ascii="宋体"/>
          <w:kern w:val="0"/>
          <w:sz w:val="24"/>
        </w:rPr>
        <w:t>元 。</w:t>
      </w:r>
    </w:p>
    <w:p>
      <w:pPr>
        <w:ind w:firstLine="480"/>
        <w:rPr>
          <w:rFonts w:ascii="宋体"/>
          <w:kern w:val="0"/>
          <w:sz w:val="24"/>
        </w:rPr>
      </w:pPr>
      <w:r>
        <w:rPr>
          <w:rFonts w:hint="eastAsia" w:ascii="宋体"/>
          <w:kern w:val="0"/>
          <w:sz w:val="24"/>
        </w:rPr>
        <w:t>8.2付款方式</w:t>
      </w:r>
    </w:p>
    <w:p>
      <w:pPr>
        <w:ind w:firstLine="480"/>
        <w:rPr>
          <w:rFonts w:ascii="宋体"/>
          <w:kern w:val="0"/>
          <w:sz w:val="24"/>
        </w:rPr>
      </w:pPr>
      <w:r>
        <w:rPr>
          <w:rFonts w:hint="eastAsia" w:ascii="宋体"/>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pPr>
        <w:ind w:firstLine="480"/>
        <w:rPr>
          <w:rFonts w:ascii="宋体"/>
          <w:kern w:val="0"/>
          <w:sz w:val="24"/>
        </w:rPr>
      </w:pPr>
      <w:r>
        <w:rPr>
          <w:rFonts w:hint="eastAsia" w:ascii="宋体"/>
          <w:kern w:val="0"/>
          <w:sz w:val="24"/>
        </w:rPr>
        <w:t>本合同款项以银行转账方式支付，承包方应于发包方付款前开具真实合法的等额发票，否则发包方有权不予支付合同价款。</w:t>
      </w:r>
    </w:p>
    <w:p>
      <w:pPr>
        <w:ind w:firstLine="480"/>
        <w:rPr>
          <w:rFonts w:ascii="宋体"/>
          <w:kern w:val="0"/>
          <w:sz w:val="24"/>
        </w:rPr>
      </w:pPr>
      <w:r>
        <w:rPr>
          <w:rFonts w:ascii="宋体"/>
          <w:kern w:val="0"/>
          <w:sz w:val="24"/>
        </w:rPr>
        <w:t>8</w:t>
      </w:r>
      <w:r>
        <w:rPr>
          <w:rFonts w:hint="eastAsia" w:ascii="宋体"/>
          <w:kern w:val="0"/>
          <w:sz w:val="24"/>
        </w:rPr>
        <w:t>.</w:t>
      </w:r>
      <w:r>
        <w:rPr>
          <w:rFonts w:ascii="宋体"/>
          <w:kern w:val="0"/>
          <w:sz w:val="24"/>
        </w:rPr>
        <w:t>3</w:t>
      </w:r>
      <w:r>
        <w:rPr>
          <w:rFonts w:hint="eastAsia" w:ascii="宋体"/>
          <w:kern w:val="0"/>
          <w:sz w:val="24"/>
        </w:rPr>
        <w:t xml:space="preserve"> 预付款</w:t>
      </w:r>
    </w:p>
    <w:p>
      <w:pPr>
        <w:ind w:firstLine="480"/>
        <w:rPr>
          <w:rFonts w:ascii="宋体"/>
          <w:kern w:val="0"/>
          <w:sz w:val="24"/>
        </w:rPr>
      </w:pPr>
      <w:r>
        <w:rPr>
          <w:rFonts w:hint="eastAsia" w:ascii="宋体"/>
          <w:kern w:val="0"/>
          <w:sz w:val="24"/>
        </w:rPr>
        <w:t>本工程无预付款。</w:t>
      </w:r>
    </w:p>
    <w:p>
      <w:pPr>
        <w:pStyle w:val="38"/>
        <w:spacing w:before="0" w:beforeAutospacing="0" w:after="0" w:afterAutospacing="0"/>
        <w:ind w:firstLine="482"/>
        <w:rPr>
          <w:b/>
          <w:szCs w:val="18"/>
        </w:rPr>
      </w:pPr>
      <w:r>
        <w:rPr>
          <w:b/>
        </w:rPr>
        <w:t xml:space="preserve">第9条 材料设备的供应。 </w:t>
      </w:r>
    </w:p>
    <w:p>
      <w:pPr>
        <w:pStyle w:val="38"/>
        <w:spacing w:before="0" w:beforeAutospacing="0" w:after="0" w:afterAutospacing="0"/>
        <w:ind w:firstLine="480"/>
        <w:rPr>
          <w:szCs w:val="18"/>
        </w:rPr>
      </w:pPr>
      <w:r>
        <w:t>9·1 发包方按双方约定的《发包方供应材料设备一览表》(附后)供应材料设备，如与《一览表》不符时，承担相应违约责任。</w:t>
      </w:r>
      <w:r>
        <w:br w:type="textWrapping"/>
      </w:r>
      <w:r>
        <w:t>　　9·2 发包方、承包方双方应对各自负责供应的材料设备，提供产品合格证明;如与设计和规范要求不符的产品，重新采购符合要求的产品，各自承担由此发生的费用。</w:t>
      </w:r>
      <w:r>
        <w:br w:type="textWrapping"/>
      </w:r>
      <w:r>
        <w:t>　　9·3 承包方需使用代用材料时，须经发包方代表批准方可使用，由此增减的费用双方议定。</w:t>
      </w:r>
    </w:p>
    <w:p>
      <w:pPr>
        <w:pStyle w:val="38"/>
        <w:spacing w:before="0" w:beforeAutospacing="0" w:after="0" w:afterAutospacing="0"/>
        <w:ind w:firstLine="482"/>
        <w:rPr>
          <w:szCs w:val="18"/>
        </w:rPr>
      </w:pPr>
      <w:r>
        <w:rPr>
          <w:b/>
          <w:bCs/>
        </w:rPr>
        <w:t xml:space="preserve">第10条 争议 </w:t>
      </w:r>
      <w:r>
        <w:br w:type="textWrapping"/>
      </w:r>
      <w:r>
        <w:t>　　 发包方、承包方双方发生争议时，可以通过协商或者申请施工合同管理机构会同有关部门调解。不愿调解或调解不成的，可以采取下列一种方式解决：</w:t>
      </w:r>
      <w:r>
        <w:br w:type="textWrapping"/>
      </w:r>
      <w:r>
        <w:t>   第一种争议解决方式:向</w:t>
      </w:r>
      <w:r>
        <w:rPr>
          <w:u w:val="words"/>
        </w:rPr>
        <w:t>____</w:t>
      </w:r>
      <w:r>
        <w:rPr>
          <w:rFonts w:hint="eastAsia"/>
          <w:u w:val="words"/>
        </w:rPr>
        <w:t>/</w:t>
      </w:r>
      <w:r>
        <w:rPr>
          <w:u w:val="words"/>
        </w:rPr>
        <w:t>____</w:t>
      </w:r>
      <w:r>
        <w:t xml:space="preserve">仲裁委员会申请仲裁; </w:t>
      </w:r>
      <w:r>
        <w:br w:type="textWrapping"/>
      </w:r>
      <w: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pPr>
        <w:pStyle w:val="38"/>
        <w:spacing w:before="0" w:beforeAutospacing="0" w:after="0" w:afterAutospacing="0"/>
        <w:ind w:firstLine="482"/>
      </w:pPr>
      <w:r>
        <w:rPr>
          <w:b/>
          <w:bCs/>
        </w:rPr>
        <w:t xml:space="preserve">第11条 违约 </w:t>
      </w:r>
      <w:r>
        <w:br w:type="textWrapping"/>
      </w:r>
      <w:r>
        <w:t>　　发包方或承包方不能按本协议条款约定内容履行自己的各项义务及发生使合同无法履行的行为，应承担相应的违约责任，包括支付违约金，赔偿因其违约给对方造成的全部经济损失。</w:t>
      </w:r>
    </w:p>
    <w:p>
      <w:pPr>
        <w:pStyle w:val="38"/>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ype="textWrapping"/>
      </w:r>
      <w:r>
        <w:t>　　除非双方协议将合同终止，或因一方违约使合同无法履行，违约方承担上述违约责任后仍应继续履行合同。</w:t>
      </w:r>
    </w:p>
    <w:p>
      <w:pPr>
        <w:pStyle w:val="38"/>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pPr>
        <w:pStyle w:val="38"/>
        <w:spacing w:before="0" w:beforeAutospacing="0" w:after="0" w:afterAutospacing="0"/>
        <w:ind w:left="216" w:leftChars="103" w:firstLine="482"/>
        <w:rPr>
          <w:szCs w:val="18"/>
        </w:rPr>
      </w:pPr>
      <w:r>
        <w:rPr>
          <w:b/>
          <w:bCs/>
          <w:szCs w:val="18"/>
        </w:rPr>
        <w:t>第13条 补充条款如下</w:t>
      </w:r>
      <w:r>
        <w:rPr>
          <w:szCs w:val="18"/>
        </w:rPr>
        <w:t>：</w:t>
      </w:r>
    </w:p>
    <w:p>
      <w:pPr>
        <w:ind w:firstLine="480"/>
        <w:rPr>
          <w:rFonts w:ascii="宋体"/>
          <w:sz w:val="24"/>
        </w:rPr>
      </w:pPr>
      <w:r>
        <w:rPr>
          <w:rFonts w:hint="eastAsia" w:ascii="宋体"/>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ind w:firstLine="480"/>
        <w:rPr>
          <w:rFonts w:ascii="宋体"/>
          <w:sz w:val="24"/>
          <w:u w:val="single"/>
        </w:rPr>
      </w:pPr>
      <w:r>
        <w:rPr>
          <w:rFonts w:hint="eastAsia" w:ascii="宋体"/>
          <w:sz w:val="24"/>
          <w:u w:val="single"/>
        </w:rPr>
        <w:t>13.2计价方式采用2012年《北京市建设工程预算定额》、2012年《北京市房屋修缮工程预算定额》。</w:t>
      </w:r>
    </w:p>
    <w:p>
      <w:pPr>
        <w:ind w:firstLine="480"/>
        <w:rPr>
          <w:rFonts w:ascii="宋体"/>
          <w:sz w:val="24"/>
          <w:u w:val="single"/>
        </w:rPr>
      </w:pPr>
      <w:r>
        <w:rPr>
          <w:rFonts w:hint="eastAsia" w:ascii="宋体"/>
          <w:sz w:val="24"/>
          <w:u w:val="single"/>
        </w:rPr>
        <w:t>13.3附工程预算书1份</w:t>
      </w:r>
      <w:r>
        <w:rPr>
          <w:rFonts w:hint="eastAsia" w:ascii="宋体"/>
          <w:sz w:val="24"/>
          <w:highlight w:val="yellow"/>
          <w:u w:val="single"/>
        </w:rPr>
        <w:t>（最终结算金额不得高于预算金额）。</w:t>
      </w:r>
    </w:p>
    <w:p>
      <w:pPr>
        <w:ind w:firstLine="480"/>
        <w:rPr>
          <w:rFonts w:ascii="宋体"/>
          <w:szCs w:val="21"/>
          <w:u w:val="single"/>
        </w:rPr>
      </w:pPr>
      <w:r>
        <w:rPr>
          <w:rFonts w:hint="eastAsia" w:ascii="宋体"/>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ind w:firstLine="480"/>
        <w:rPr>
          <w:rFonts w:ascii="宋体"/>
          <w:sz w:val="24"/>
          <w:u w:val="single"/>
        </w:rPr>
      </w:pPr>
      <w:r>
        <w:rPr>
          <w:rFonts w:hint="eastAsia" w:ascii="宋体"/>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hint="eastAsia" w:ascii="宋体"/>
          <w:sz w:val="24"/>
          <w:u w:val="single"/>
        </w:rPr>
        <w:t>材料设备明细表（品牌、型号、规格、供应商座机电话）一式三份。</w:t>
      </w:r>
    </w:p>
    <w:p>
      <w:pPr>
        <w:ind w:firstLine="480"/>
        <w:rPr>
          <w:rFonts w:ascii="宋体"/>
          <w:sz w:val="24"/>
          <w:u w:val="single"/>
        </w:rPr>
      </w:pPr>
      <w:r>
        <w:rPr>
          <w:rFonts w:hint="eastAsia" w:ascii="宋体"/>
          <w:sz w:val="24"/>
        </w:rPr>
        <w:t>13.6</w:t>
      </w:r>
      <w:r>
        <w:rPr>
          <w:rFonts w:hint="eastAsia" w:ascii="宋体"/>
          <w:sz w:val="24"/>
          <w:u w:val="single"/>
        </w:rPr>
        <w:t>本工程所用材料、设备按市场价进行结算。</w:t>
      </w:r>
    </w:p>
    <w:p>
      <w:pPr>
        <w:ind w:firstLine="480"/>
        <w:rPr>
          <w:rFonts w:ascii="宋体"/>
          <w:sz w:val="24"/>
        </w:rPr>
      </w:pPr>
      <w:r>
        <w:rPr>
          <w:rFonts w:hint="eastAsia" w:ascii="宋体"/>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ind w:firstLine="480"/>
        <w:rPr>
          <w:rFonts w:ascii="宋体"/>
          <w:sz w:val="24"/>
        </w:rPr>
      </w:pPr>
      <w:r>
        <w:rPr>
          <w:rFonts w:hint="eastAsia" w:ascii="宋体"/>
          <w:sz w:val="24"/>
        </w:rPr>
        <w:t>13.8</w:t>
      </w:r>
      <w:r>
        <w:rPr>
          <w:rFonts w:hint="eastAsia" w:ascii="宋体"/>
          <w:sz w:val="24"/>
          <w:u w:val="single"/>
        </w:rPr>
        <w:t>工程施工前发包方、承包方双方需签订施工安全、消防协议书，明确责任。</w:t>
      </w:r>
    </w:p>
    <w:p>
      <w:pPr>
        <w:ind w:firstLine="480"/>
        <w:rPr>
          <w:rFonts w:ascii="宋体"/>
          <w:sz w:val="24"/>
        </w:rPr>
      </w:pPr>
      <w:r>
        <w:rPr>
          <w:rFonts w:hint="eastAsia" w:ascii="宋体"/>
          <w:sz w:val="24"/>
        </w:rPr>
        <w:t>13.9</w:t>
      </w:r>
      <w:r>
        <w:rPr>
          <w:rFonts w:hint="eastAsia" w:ascii="宋体"/>
          <w:sz w:val="24"/>
          <w:u w:val="single"/>
        </w:rPr>
        <w:t>承包方提供竣工图纸叁套。</w:t>
      </w:r>
    </w:p>
    <w:p>
      <w:pPr>
        <w:ind w:firstLine="480"/>
        <w:rPr>
          <w:rFonts w:ascii="宋体"/>
          <w:sz w:val="24"/>
          <w:u w:val="single"/>
        </w:rPr>
      </w:pPr>
      <w:r>
        <w:rPr>
          <w:rFonts w:hint="eastAsia" w:ascii="宋体"/>
          <w:sz w:val="24"/>
        </w:rPr>
        <w:t>13.10</w:t>
      </w:r>
      <w:r>
        <w:rPr>
          <w:rFonts w:hint="eastAsia" w:ascii="宋体"/>
          <w:sz w:val="24"/>
          <w:u w:val="single"/>
        </w:rPr>
        <w:t>承包方所采购的材料、设备如有质量问题（不合格）一切由承包方负责，因此给发包方造成的损失，由承包方承担相应的法律责任并赔偿全部损失。</w:t>
      </w:r>
    </w:p>
    <w:p>
      <w:pPr>
        <w:ind w:firstLine="480"/>
        <w:rPr>
          <w:rFonts w:ascii="宋体"/>
          <w:sz w:val="24"/>
          <w:u w:val="single"/>
        </w:rPr>
      </w:pPr>
      <w:r>
        <w:rPr>
          <w:rFonts w:hint="eastAsia" w:ascii="宋体"/>
          <w:sz w:val="24"/>
        </w:rPr>
        <w:t>13.11</w:t>
      </w:r>
      <w:r>
        <w:rPr>
          <w:rFonts w:hint="eastAsia" w:ascii="宋体"/>
          <w:sz w:val="24"/>
          <w:u w:val="single"/>
        </w:rPr>
        <w:t>若乙方就施工图纸、设计变更所确定的工程内容以外的；施工预算或预算定额取费中未包含隐蔽施工或其他新增的项目，该项需重新协商签订合同。</w:t>
      </w:r>
    </w:p>
    <w:p>
      <w:pPr>
        <w:ind w:firstLine="480"/>
        <w:rPr>
          <w:rFonts w:ascii="宋体"/>
          <w:sz w:val="24"/>
          <w:u w:val="single"/>
        </w:rPr>
      </w:pPr>
      <w:r>
        <w:rPr>
          <w:rFonts w:hint="eastAsia" w:ascii="宋体"/>
          <w:sz w:val="24"/>
          <w:u w:val="single"/>
        </w:rPr>
        <w:t>13.12本工程自竣工验收合格之日起，乙方负责免费保修两年。</w:t>
      </w:r>
    </w:p>
    <w:p>
      <w:pPr>
        <w:ind w:firstLine="480"/>
        <w:rPr>
          <w:rFonts w:ascii="宋体"/>
          <w:sz w:val="24"/>
          <w:u w:val="single"/>
        </w:rPr>
      </w:pPr>
      <w:r>
        <w:rPr>
          <w:rFonts w:hint="eastAsia" w:ascii="宋体"/>
          <w:sz w:val="24"/>
          <w:u w:val="single"/>
        </w:rPr>
        <w:t>13.13未经发包方书面同意，承包方不得将该工程转包、分包给第三方。</w:t>
      </w:r>
    </w:p>
    <w:p>
      <w:pPr>
        <w:ind w:firstLine="480"/>
        <w:rPr>
          <w:rFonts w:ascii="宋体"/>
          <w:sz w:val="24"/>
          <w:u w:val="single"/>
        </w:rPr>
      </w:pPr>
      <w:r>
        <w:rPr>
          <w:rFonts w:hint="eastAsia" w:ascii="宋体"/>
          <w:sz w:val="24"/>
          <w:u w:val="single"/>
        </w:rPr>
        <w:t>13.14安全协议书、工程保修书为本合同不可分割的一部分与本合同具有同等的法律效力。</w:t>
      </w:r>
    </w:p>
    <w:p>
      <w:pPr>
        <w:ind w:firstLine="480"/>
        <w:rPr>
          <w:rFonts w:ascii="宋体"/>
          <w:sz w:val="24"/>
          <w:u w:val="single"/>
        </w:rPr>
      </w:pPr>
      <w:r>
        <w:rPr>
          <w:rFonts w:hint="eastAsia" w:ascii="宋体"/>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ind w:firstLine="480"/>
        <w:rPr>
          <w:rFonts w:ascii="宋体"/>
          <w:sz w:val="24"/>
          <w:u w:val="single"/>
        </w:rPr>
      </w:pPr>
      <w:r>
        <w:rPr>
          <w:rFonts w:hint="eastAsia" w:ascii="宋体"/>
          <w:sz w:val="24"/>
          <w:u w:val="single"/>
        </w:rPr>
        <w:t>13.16施工期间违反质量、安全、</w:t>
      </w:r>
      <w:r>
        <w:rPr>
          <w:rFonts w:hint="eastAsia" w:ascii="宋体"/>
          <w:sz w:val="24"/>
          <w:highlight w:val="yellow"/>
          <w:u w:val="single"/>
        </w:rPr>
        <w:t>诚信</w:t>
      </w:r>
      <w:r>
        <w:rPr>
          <w:rFonts w:hint="eastAsia" w:ascii="宋体"/>
          <w:sz w:val="24"/>
          <w:u w:val="single"/>
        </w:rPr>
        <w:t>、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pPr>
        <w:ind w:firstLine="480"/>
        <w:rPr>
          <w:rFonts w:ascii="宋体"/>
          <w:sz w:val="24"/>
          <w:u w:val="single"/>
        </w:rPr>
      </w:pPr>
      <w:r>
        <w:rPr>
          <w:rFonts w:hint="eastAsia" w:ascii="宋体"/>
          <w:sz w:val="24"/>
          <w:u w:val="single"/>
        </w:rPr>
        <w:t>13.17建设工程施工安全责任书、工程建设项目廉政责任书  为本协议的一部分，与本协议具有同等法律效力。</w:t>
      </w:r>
    </w:p>
    <w:p>
      <w:pPr>
        <w:pStyle w:val="38"/>
        <w:spacing w:before="0" w:beforeAutospacing="0" w:after="0" w:afterAutospacing="0"/>
        <w:ind w:firstLine="480"/>
        <w:rPr>
          <w:szCs w:val="18"/>
        </w:rPr>
      </w:pPr>
    </w:p>
    <w:p>
      <w:pPr>
        <w:pStyle w:val="38"/>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pPr>
        <w:pStyle w:val="38"/>
        <w:spacing w:before="0" w:beforeAutospacing="0" w:after="0" w:afterAutospacing="0"/>
        <w:ind w:firstLine="480"/>
        <w:rPr>
          <w:szCs w:val="18"/>
        </w:rPr>
      </w:pPr>
    </w:p>
    <w:p>
      <w:pPr>
        <w:pStyle w:val="38"/>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pPr>
        <w:ind w:firstLine="480"/>
        <w:rPr>
          <w:rFonts w:ascii="宋体"/>
          <w:sz w:val="24"/>
          <w:szCs w:val="18"/>
        </w:rPr>
      </w:pPr>
    </w:p>
    <w:p>
      <w:pPr>
        <w:ind w:firstLine="480"/>
        <w:rPr>
          <w:rFonts w:ascii="宋体"/>
          <w:sz w:val="24"/>
          <w:szCs w:val="18"/>
        </w:rPr>
      </w:pPr>
    </w:p>
    <w:p>
      <w:pPr>
        <w:pStyle w:val="38"/>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乙方</w:t>
      </w:r>
      <w:r>
        <w:rPr>
          <w:rFonts w:hint="eastAsia"/>
          <w:szCs w:val="18"/>
        </w:rPr>
        <w:t>法定</w:t>
      </w:r>
      <w:r>
        <w:rPr>
          <w:szCs w:val="18"/>
        </w:rPr>
        <w:t>代表人签字：          </w:t>
      </w:r>
    </w:p>
    <w:p>
      <w:pPr>
        <w:ind w:firstLine="480"/>
        <w:rPr>
          <w:rFonts w:ascii="宋体"/>
          <w:sz w:val="24"/>
          <w:szCs w:val="18"/>
        </w:rPr>
      </w:pPr>
    </w:p>
    <w:p>
      <w:pPr>
        <w:ind w:firstLine="480"/>
        <w:rPr>
          <w:rFonts w:ascii="宋体"/>
          <w:sz w:val="24"/>
          <w:szCs w:val="18"/>
        </w:rPr>
      </w:pPr>
    </w:p>
    <w:p>
      <w:pPr>
        <w:ind w:firstLine="480"/>
        <w:rPr>
          <w:rFonts w:ascii="宋体"/>
          <w:sz w:val="24"/>
          <w:szCs w:val="18"/>
        </w:rPr>
      </w:pPr>
      <w:r>
        <w:rPr>
          <w:rFonts w:hint="eastAsia" w:ascii="宋体"/>
          <w:sz w:val="24"/>
          <w:szCs w:val="18"/>
        </w:rPr>
        <w:t>委托代理人签字：                     委托代理人签字：</w:t>
      </w:r>
    </w:p>
    <w:p>
      <w:pPr>
        <w:ind w:firstLine="480"/>
        <w:rPr>
          <w:rFonts w:ascii="宋体"/>
          <w:sz w:val="24"/>
          <w:szCs w:val="18"/>
        </w:rPr>
      </w:pPr>
    </w:p>
    <w:p>
      <w:pPr>
        <w:pStyle w:val="38"/>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pPr>
        <w:pStyle w:val="38"/>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pPr>
        <w:pStyle w:val="38"/>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pPr>
        <w:pStyle w:val="38"/>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pPr>
        <w:pStyle w:val="38"/>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pPr>
        <w:pStyle w:val="38"/>
        <w:tabs>
          <w:tab w:val="left" w:pos="540"/>
          <w:tab w:val="left" w:pos="4500"/>
          <w:tab w:val="left" w:pos="4680"/>
        </w:tabs>
        <w:spacing w:before="0" w:beforeAutospacing="0" w:after="0" w:afterAutospacing="0"/>
        <w:ind w:firstLine="480"/>
        <w:rPr>
          <w:szCs w:val="18"/>
        </w:rPr>
      </w:pPr>
      <w:r>
        <w:rPr>
          <w:szCs w:val="18"/>
        </w:rPr>
        <w:br w:type="page"/>
      </w:r>
    </w:p>
    <w:p>
      <w:pPr>
        <w:pStyle w:val="38"/>
        <w:spacing w:before="0" w:beforeAutospacing="0" w:after="0" w:afterAutospacing="0"/>
        <w:ind w:firstLine="723"/>
        <w:jc w:val="center"/>
        <w:rPr>
          <w:sz w:val="36"/>
          <w:szCs w:val="36"/>
        </w:rPr>
      </w:pPr>
      <w:r>
        <w:rPr>
          <w:b/>
          <w:bCs/>
          <w:sz w:val="36"/>
          <w:szCs w:val="36"/>
        </w:rPr>
        <w:t>工程发包方供应材料设备一览表</w:t>
      </w:r>
    </w:p>
    <w:p>
      <w:pPr>
        <w:ind w:firstLine="480"/>
        <w:rPr>
          <w:sz w:val="24"/>
          <w:szCs w:val="18"/>
        </w:rPr>
      </w:pPr>
    </w:p>
    <w:tbl>
      <w:tblPr>
        <w:tblStyle w:val="41"/>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序号</w:t>
            </w:r>
          </w:p>
        </w:tc>
        <w:tc>
          <w:tcPr>
            <w:tcW w:w="1758"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材料或设备名称</w:t>
            </w:r>
          </w:p>
        </w:tc>
        <w:tc>
          <w:tcPr>
            <w:tcW w:w="1412"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规格型号</w:t>
            </w:r>
          </w:p>
        </w:tc>
        <w:tc>
          <w:tcPr>
            <w:tcW w:w="42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单位</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数量</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单价</w:t>
            </w:r>
          </w:p>
        </w:tc>
        <w:tc>
          <w:tcPr>
            <w:tcW w:w="1083" w:type="dxa"/>
            <w:gridSpan w:val="3"/>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供应时间</w:t>
            </w:r>
          </w:p>
        </w:tc>
        <w:tc>
          <w:tcPr>
            <w:tcW w:w="123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送达地点</w:t>
            </w:r>
          </w:p>
        </w:tc>
        <w:tc>
          <w:tcPr>
            <w:tcW w:w="141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8"/>
              <w:spacing w:before="0" w:beforeAutospacing="0" w:after="0" w:afterAutospacing="0"/>
              <w:ind w:firstLine="480"/>
            </w:pPr>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758"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412"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42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bl>
    <w:p>
      <w:pPr>
        <w:pStyle w:val="38"/>
        <w:spacing w:before="0" w:beforeAutospacing="0" w:after="0" w:afterAutospacing="0"/>
        <w:ind w:firstLine="480"/>
        <w:rPr>
          <w:szCs w:val="18"/>
        </w:rPr>
      </w:pPr>
    </w:p>
    <w:p>
      <w:pPr>
        <w:pStyle w:val="38"/>
        <w:spacing w:before="0" w:beforeAutospacing="0" w:after="0" w:afterAutospacing="0"/>
        <w:ind w:firstLine="480"/>
        <w:rPr>
          <w:szCs w:val="18"/>
        </w:rPr>
      </w:pPr>
    </w:p>
    <w:p>
      <w:pPr>
        <w:pStyle w:val="38"/>
        <w:spacing w:before="0" w:beforeAutospacing="0" w:after="0" w:afterAutospacing="0"/>
        <w:ind w:firstLine="480"/>
        <w:rPr>
          <w:szCs w:val="18"/>
        </w:rPr>
      </w:pPr>
      <w:r>
        <w:rPr>
          <w:szCs w:val="18"/>
        </w:rPr>
        <w:br w:type="page"/>
      </w:r>
    </w:p>
    <w:p>
      <w:pPr>
        <w:widowControl/>
        <w:shd w:val="clear" w:color="auto" w:fill="FFFFFF"/>
        <w:spacing w:line="540" w:lineRule="atLeast"/>
        <w:ind w:firstLine="600"/>
        <w:jc w:val="center"/>
        <w:outlineLvl w:val="2"/>
        <w:rPr>
          <w:rFonts w:ascii="宋体" w:hAnsi="宋体" w:cs="宋体"/>
          <w:kern w:val="0"/>
          <w:sz w:val="30"/>
          <w:szCs w:val="30"/>
        </w:rPr>
      </w:pPr>
      <w:r>
        <w:rPr>
          <w:rFonts w:hint="eastAsia" w:ascii="宋体" w:hAnsi="宋体" w:cs="宋体"/>
          <w:kern w:val="0"/>
          <w:sz w:val="30"/>
          <w:szCs w:val="30"/>
        </w:rPr>
        <w:t>建设工程施工安全责任书</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甲方（总包方）：北京清华长庚医院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乙方（承包方）：</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kern w:val="0"/>
        </w:rPr>
        <w:t>法规</w:t>
      </w:r>
      <w:r>
        <w:rPr>
          <w:rFonts w:hint="eastAsia" w:ascii="宋体" w:hAnsi="宋体" w:cs="宋体"/>
          <w:kern w:val="0"/>
        </w:rPr>
        <w:fldChar w:fldCharType="end"/>
      </w:r>
      <w:r>
        <w:rPr>
          <w:rFonts w:hint="eastAsia" w:ascii="宋体" w:hAnsi="宋体" w:cs="宋体"/>
          <w:kern w:val="0"/>
          <w:szCs w:val="21"/>
        </w:rPr>
        <w:t>，甲乙双方特订立此建设工程安全生产责任书，双方共同遵守。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工程劳务承包方责任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kern w:val="0"/>
        </w:rPr>
        <w:t>法律</w:t>
      </w:r>
      <w:r>
        <w:rPr>
          <w:rFonts w:hint="eastAsia" w:ascii="宋体" w:hAnsi="宋体" w:cs="宋体"/>
          <w:kern w:val="0"/>
        </w:rPr>
        <w:fldChar w:fldCharType="end"/>
      </w:r>
      <w:r>
        <w:rPr>
          <w:rFonts w:hint="eastAsia" w:ascii="宋体" w:hAnsi="宋体" w:cs="宋体"/>
          <w:kern w:val="0"/>
          <w:szCs w:val="21"/>
        </w:rPr>
        <w:t>、法令、法规及行业规章、规程等管理规定。严格执行现行的“一标准三规范”《建筑施工安全检查标准》（JG59-</w:t>
      </w:r>
      <w:r>
        <w:rPr>
          <w:rFonts w:ascii="宋体" w:hAnsi="宋体" w:cs="宋体"/>
          <w:kern w:val="0"/>
          <w:szCs w:val="21"/>
        </w:rPr>
        <w:t>2011</w:t>
      </w:r>
      <w:r>
        <w:rPr>
          <w:rFonts w:hint="eastAsia" w:ascii="宋体" w:hAnsi="宋体" w:cs="宋体"/>
          <w:kern w:val="0"/>
          <w:szCs w:val="21"/>
        </w:rPr>
        <w:t>），《建筑施工高处作业安全技术规范》JGJ80-</w:t>
      </w:r>
      <w:r>
        <w:rPr>
          <w:rFonts w:ascii="宋体" w:hAnsi="宋体" w:cs="宋体"/>
          <w:kern w:val="0"/>
          <w:szCs w:val="21"/>
        </w:rPr>
        <w:t>2016</w:t>
      </w:r>
      <w:r>
        <w:rPr>
          <w:rFonts w:hint="eastAsia" w:ascii="宋体" w:hAnsi="宋体" w:cs="宋体"/>
          <w:kern w:val="0"/>
          <w:szCs w:val="21"/>
        </w:rPr>
        <w:t>；《龙门架及井架物料提升机安全技术规范》JGJ88-</w:t>
      </w:r>
      <w:r>
        <w:rPr>
          <w:rFonts w:ascii="宋体" w:hAnsi="宋体" w:cs="宋体"/>
          <w:kern w:val="0"/>
          <w:szCs w:val="21"/>
        </w:rPr>
        <w:t>2010</w:t>
      </w:r>
      <w:r>
        <w:rPr>
          <w:rFonts w:hint="eastAsia" w:ascii="宋体" w:hAnsi="宋体" w:cs="宋体"/>
          <w:kern w:val="0"/>
          <w:szCs w:val="21"/>
        </w:rPr>
        <w:t>；《施工现场临时用电安全技术规范》JGJ46-</w:t>
      </w:r>
      <w:r>
        <w:rPr>
          <w:rFonts w:ascii="宋体" w:hAnsi="宋体" w:cs="宋体"/>
          <w:kern w:val="0"/>
          <w:szCs w:val="21"/>
        </w:rPr>
        <w:t>2005</w:t>
      </w:r>
      <w:r>
        <w:rPr>
          <w:rFonts w:hint="eastAsia" w:ascii="宋体" w:hAnsi="宋体" w:cs="宋体"/>
          <w:kern w:val="0"/>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9、 施工企业应根据中华人民共和国建筑法第五章四十八条的规定，对施工现场进行意外伤害、伤亡保险。</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 发包方责任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发包单位应根据国家有关法令，法规选择符合安全资质的施工企业承包施工。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 建设工程承包方安全生产目标</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安全管理目标承诺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事故管理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本工程杜绝四级及四级以上的伤亡事故的发生。 重伤事故率控制0% 轻伤事故率控制1%</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安全管理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（1）按照施工组织设计中采取的安全措施的项目执行率为100%，经费保证率100 %。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（2）施工现场每月组织3次由公司分管经理或项目经理组织的安全大检查。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（3）施工现场各级职能人员岗位责任制，目标责任书执行率100%。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（4）施工现场设专职安全员1人。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（5）施工现场脚手架及高处防护作业工程、施工用电、施工机械及特料运输提升设施验收合格率100%。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（6）施工现场各类机械，机电设备完好率100%。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3、安全教育</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工人岗前三级教育率100%，特种工人持证上岗100%；施工管理人员安全培训率100%。</w:t>
      </w: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 xml:space="preserve">四、 本责任书一式四份，甲方三份，乙方一份，具有同等法律效力。  </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ind w:firstLine="420"/>
        <w:jc w:val="center"/>
        <w:rPr>
          <w:rFonts w:ascii="Calibri" w:hAnsi="Calibri"/>
          <w:sz w:val="36"/>
          <w:szCs w:val="28"/>
        </w:rPr>
      </w:pPr>
      <w:r>
        <w:rPr>
          <w:rFonts w:ascii="宋体" w:hAnsi="宋体" w:cs="宋体"/>
          <w:kern w:val="0"/>
          <w:szCs w:val="21"/>
        </w:rPr>
        <w:br w:type="page"/>
      </w:r>
      <w:r>
        <w:rPr>
          <w:rFonts w:hint="eastAsia" w:ascii="Calibri" w:hAnsi="Calibri"/>
          <w:sz w:val="36"/>
          <w:szCs w:val="28"/>
        </w:rPr>
        <w:t>工程建设项目廉政责任书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工程项目名称：</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工程项目地址：北京清华长庚医院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建设单位（甲方）：北京清华长庚医院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施工单位（乙方）：</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第一条　甲乙双方的责任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（二）严格执行建设工程项目承发包合同文件，自觉按合同办事。</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第二条　甲方的责任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甲方的领导和从事该建设工程项目的工作人员，在工程建设的事前、事中、事后应遵守以下规定：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（一）不准向乙方和相关单位索要或接受回扣、礼金、有价证券、贵重物品和好处费、感谢费等。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（二）不准在乙方和相关单位报销任何应由甲方或个人支付的费用。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（四）不准参加有可能影响公正执行公务的乙方和相关单位的宴请和健身、娱乐等活动。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第三条　乙方的责任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（二）不准以任何理由为甲方和相关单位报销应由对方或个人支付的费用。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（四）不准以任何理由为甲方、相关单位或个人组织有可能影响公正执行公务的宴请、健身、娱乐等活动。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第四条　违约责任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第五条　本责任书作为工程施工合同的附件，与工程施工合同具有同等法律效力。经双方签署后立即生效。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第六条　本责任书的有效期为双方签署之日起至该工程项目竣工验收合格时止。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第七条</w:t>
      </w:r>
      <w:r>
        <w:rPr>
          <w:rFonts w:hint="eastAsia" w:ascii="宋体" w:hAnsi="宋体" w:cs="宋体"/>
          <w:kern w:val="0"/>
          <w:szCs w:val="21"/>
        </w:rPr>
        <w:tab/>
      </w:r>
      <w:r>
        <w:rPr>
          <w:rFonts w:hint="eastAsia" w:ascii="宋体" w:hAnsi="宋体" w:cs="宋体"/>
          <w:kern w:val="0"/>
          <w:szCs w:val="21"/>
        </w:rPr>
        <w:t>本责任书一式四份，由甲乙双方各执一份，送交甲乙双方的监督单位各一份。</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8" w:firstLineChars="28"/>
        <w:jc w:val="left"/>
        <w:rPr>
          <w:rFonts w:ascii="宋体" w:hAnsi="宋体" w:cs="宋体"/>
          <w:kern w:val="0"/>
          <w:szCs w:val="21"/>
        </w:rPr>
      </w:pPr>
      <w:r>
        <w:rPr>
          <w:rFonts w:hint="eastAsia" w:ascii="宋体" w:hAnsi="宋体" w:cs="宋体"/>
          <w:kern w:val="0"/>
          <w:szCs w:val="21"/>
        </w:rPr>
        <w:t>以下空白</w:t>
      </w:r>
    </w:p>
    <w:p>
      <w:pPr>
        <w:pStyle w:val="38"/>
        <w:tabs>
          <w:tab w:val="left" w:pos="540"/>
          <w:tab w:val="left" w:pos="4500"/>
          <w:tab w:val="left" w:pos="4680"/>
        </w:tabs>
        <w:spacing w:before="0" w:beforeAutospacing="0" w:after="0" w:afterAutospacing="0"/>
        <w:ind w:firstLine="422"/>
        <w:rPr>
          <w:b/>
          <w:bCs/>
          <w:sz w:val="21"/>
          <w:szCs w:val="21"/>
        </w:rPr>
      </w:pPr>
    </w:p>
    <w:p>
      <w:pPr>
        <w:ind w:firstLine="420"/>
      </w:pPr>
    </w:p>
    <w:p>
      <w:pPr>
        <w:ind w:firstLine="0" w:firstLineChars="0"/>
        <w:rPr>
          <w:sz w:val="24"/>
        </w:rPr>
      </w:pPr>
    </w:p>
    <w:p>
      <w:pPr>
        <w:ind w:firstLine="480"/>
        <w:rPr>
          <w:sz w:val="24"/>
        </w:rPr>
      </w:pPr>
    </w:p>
    <w:p>
      <w:pPr>
        <w:pStyle w:val="38"/>
        <w:wordWrap w:val="0"/>
        <w:spacing w:before="192" w:beforeAutospacing="0"/>
        <w:ind w:firstLine="0" w:firstLineChars="0"/>
        <w:jc w:val="both"/>
        <w:rPr>
          <w:b/>
          <w:bCs/>
          <w:sz w:val="18"/>
          <w:szCs w:val="18"/>
        </w:rPr>
      </w:pPr>
    </w:p>
    <w:p>
      <w:pPr>
        <w:pStyle w:val="2"/>
        <w:keepNext w:val="0"/>
        <w:keepLines w:val="0"/>
        <w:ind w:left="0"/>
        <w:rPr>
          <w:rFonts w:ascii="宋体" w:hAnsi="宋体"/>
        </w:rPr>
        <w:sectPr>
          <w:footerReference r:id="rId10" w:type="first"/>
          <w:footerReference r:id="rId9" w:type="default"/>
          <w:pgSz w:w="11906" w:h="16838"/>
          <w:pgMar w:top="1440" w:right="1800" w:bottom="1440" w:left="1800" w:header="855" w:footer="851" w:gutter="0"/>
          <w:cols w:space="425" w:num="1"/>
          <w:titlePg/>
          <w:docGrid w:type="lines" w:linePitch="312" w:charSpace="0"/>
        </w:sectPr>
      </w:pPr>
      <w:bookmarkStart w:id="15" w:name="_Toc138740212"/>
    </w:p>
    <w:p>
      <w:pPr>
        <w:pStyle w:val="2"/>
        <w:keepNext w:val="0"/>
        <w:keepLines w:val="0"/>
        <w:ind w:left="0"/>
        <w:rPr>
          <w:rFonts w:ascii="宋体" w:hAnsi="宋体"/>
        </w:rPr>
      </w:pPr>
      <w:bookmarkStart w:id="16" w:name="_Toc79682143"/>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7" w:name="_Toc138740213"/>
      <w:bookmarkStart w:id="18" w:name="_Toc79682144"/>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Ind w:w="0" w:type="dxa"/>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2</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3</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Layout w:type="fixed"/>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Layout w:type="fixed"/>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5</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sectPr>
          <w:pgSz w:w="11906" w:h="16838"/>
          <w:pgMar w:top="1440" w:right="1800" w:bottom="1440" w:left="1800" w:header="855" w:footer="851" w:gutter="0"/>
          <w:cols w:space="425" w:num="1"/>
          <w:titlePg/>
          <w:docGrid w:type="lines" w:linePitch="312" w:charSpace="0"/>
        </w:sectPr>
      </w:pPr>
      <w:r>
        <w:rPr>
          <w:rFonts w:hint="eastAsia" w:ascii="宋体" w:hAnsi="宋体"/>
          <w:szCs w:val="21"/>
        </w:rPr>
        <w:t>本工程招标控制价为RMB</w:t>
      </w:r>
      <w:r>
        <w:rPr>
          <w:rFonts w:hint="eastAsia" w:ascii="宋体" w:hAnsi="宋体"/>
          <w:szCs w:val="21"/>
          <w:u w:val="single"/>
        </w:rPr>
        <w:t xml:space="preserve"> </w:t>
      </w:r>
      <w:r>
        <w:rPr>
          <w:rFonts w:hint="eastAsia" w:asciiTheme="minorEastAsia" w:hAnsiTheme="minorEastAsia" w:eastAsiaTheme="minorEastAsia" w:cstheme="minorEastAsia"/>
          <w:szCs w:val="21"/>
          <w:u w:val="single"/>
          <w:shd w:val="clear" w:color="auto" w:fill="FFFFFF"/>
        </w:rPr>
        <w:t>157422.61</w:t>
      </w:r>
      <w:r>
        <w:rPr>
          <w:rFonts w:hint="eastAsia" w:ascii="宋体" w:hAnsi="宋体"/>
          <w:szCs w:val="21"/>
        </w:rPr>
        <w:t>元。</w:t>
      </w:r>
    </w:p>
    <w:p>
      <w:pPr>
        <w:pStyle w:val="59"/>
        <w:ind w:firstLine="0" w:firstLineChars="0"/>
        <w:jc w:val="both"/>
      </w:pPr>
    </w:p>
    <w:p>
      <w:pPr>
        <w:pStyle w:val="2"/>
        <w:keepNext w:val="0"/>
        <w:keepLines w:val="0"/>
        <w:ind w:left="0"/>
        <w:rPr>
          <w:rFonts w:ascii="宋体" w:hAnsi="宋体"/>
        </w:rPr>
      </w:pPr>
      <w:bookmarkStart w:id="19" w:name="_Toc79682145"/>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w:t>
      </w:r>
      <w:r>
        <w:rPr>
          <w:rFonts w:hint="eastAsia" w:ascii="宋体" w:hAnsi="宋体"/>
          <w:szCs w:val="21"/>
        </w:rPr>
        <w:t>编制</w:t>
      </w:r>
      <w:r>
        <w:rPr>
          <w:rFonts w:ascii="宋体" w:hAnsi="宋体"/>
          <w:szCs w:val="21"/>
        </w:rPr>
        <w:t>要求说明如下：</w:t>
      </w:r>
    </w:p>
    <w:p>
      <w:pPr>
        <w:numPr>
          <w:ilvl w:val="0"/>
          <w:numId w:val="3"/>
        </w:numPr>
        <w:ind w:left="0" w:firstLine="371" w:firstLineChars="177"/>
        <w:jc w:val="left"/>
        <w:rPr>
          <w:rFonts w:ascii="宋体" w:hAnsi="宋体"/>
          <w:szCs w:val="21"/>
        </w:rPr>
      </w:pPr>
      <w:r>
        <w:rPr>
          <w:rFonts w:ascii="宋体" w:hAnsi="宋体"/>
          <w:szCs w:val="21"/>
        </w:rPr>
        <w:t>全文采用MICROSOFT——WORD2007版本打印；</w:t>
      </w:r>
    </w:p>
    <w:p>
      <w:pPr>
        <w:numPr>
          <w:ilvl w:val="0"/>
          <w:numId w:val="3"/>
        </w:numPr>
        <w:ind w:left="0" w:firstLine="371" w:firstLineChars="177"/>
        <w:jc w:val="left"/>
        <w:rPr>
          <w:rFonts w:ascii="宋体" w:hAnsi="宋体"/>
          <w:szCs w:val="21"/>
        </w:rPr>
      </w:pPr>
      <w:r>
        <w:rPr>
          <w:rFonts w:ascii="宋体" w:hAnsi="宋体"/>
          <w:szCs w:val="21"/>
        </w:rPr>
        <w:t>纸张：A4白色复印纸（70g）；</w:t>
      </w:r>
    </w:p>
    <w:p>
      <w:pPr>
        <w:numPr>
          <w:ilvl w:val="0"/>
          <w:numId w:val="3"/>
        </w:numPr>
        <w:ind w:left="0" w:firstLine="371" w:firstLineChars="177"/>
        <w:jc w:val="left"/>
        <w:rPr>
          <w:rFonts w:ascii="宋体" w:hAnsi="宋体"/>
          <w:szCs w:val="21"/>
        </w:rPr>
      </w:pPr>
      <w:r>
        <w:rPr>
          <w:rFonts w:ascii="宋体" w:hAnsi="宋体"/>
          <w:szCs w:val="21"/>
        </w:rPr>
        <w:t>字体：宋体；</w:t>
      </w:r>
    </w:p>
    <w:p>
      <w:pPr>
        <w:numPr>
          <w:ilvl w:val="0"/>
          <w:numId w:val="3"/>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3"/>
        </w:numPr>
        <w:ind w:left="0" w:firstLine="371" w:firstLineChars="177"/>
        <w:jc w:val="left"/>
        <w:rPr>
          <w:rFonts w:ascii="宋体" w:hAnsi="宋体"/>
          <w:szCs w:val="21"/>
        </w:rPr>
      </w:pPr>
      <w:r>
        <w:rPr>
          <w:rFonts w:ascii="宋体" w:hAnsi="宋体"/>
          <w:szCs w:val="21"/>
        </w:rPr>
        <w:t>行距：固定值22磅；</w:t>
      </w:r>
    </w:p>
    <w:p>
      <w:pPr>
        <w:numPr>
          <w:ilvl w:val="0"/>
          <w:numId w:val="3"/>
        </w:numPr>
        <w:ind w:left="0" w:firstLine="371" w:firstLineChars="177"/>
        <w:jc w:val="left"/>
        <w:rPr>
          <w:rFonts w:ascii="宋体" w:hAnsi="宋体"/>
          <w:szCs w:val="21"/>
        </w:rPr>
      </w:pPr>
      <w:r>
        <w:rPr>
          <w:rFonts w:ascii="宋体" w:hAnsi="宋体"/>
          <w:szCs w:val="21"/>
        </w:rPr>
        <w:t>页边距：上2.5厘米，其余均为2厘米；</w:t>
      </w:r>
    </w:p>
    <w:p>
      <w:pPr>
        <w:numPr>
          <w:ilvl w:val="0"/>
          <w:numId w:val="3"/>
        </w:numPr>
        <w:ind w:left="0" w:firstLine="371" w:firstLineChars="177"/>
        <w:jc w:val="left"/>
        <w:rPr>
          <w:rFonts w:ascii="宋体" w:hAnsi="宋体"/>
          <w:szCs w:val="21"/>
        </w:rPr>
      </w:pPr>
      <w:r>
        <w:rPr>
          <w:rFonts w:ascii="宋体" w:hAnsi="宋体"/>
          <w:szCs w:val="21"/>
        </w:rPr>
        <w:t>包括图表，不允许使用彩色打印；</w:t>
      </w:r>
    </w:p>
    <w:p>
      <w:pPr>
        <w:numPr>
          <w:ilvl w:val="0"/>
          <w:numId w:val="3"/>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3"/>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3"/>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3"/>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0" w:firstLineChars="0"/>
        <w:jc w:val="center"/>
        <w:rPr>
          <w:b/>
          <w:sz w:val="28"/>
        </w:rPr>
      </w:pPr>
      <w:r>
        <w:rPr>
          <w:rFonts w:hint="eastAsia"/>
          <w:b/>
          <w:sz w:val="28"/>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1.1施工技术方案</w:t>
      </w:r>
    </w:p>
    <w:p>
      <w:pPr>
        <w:pStyle w:val="60"/>
        <w:ind w:firstLine="420"/>
      </w:pPr>
      <w:r>
        <w:rPr>
          <w:rFonts w:hint="eastAsia"/>
        </w:rPr>
        <w:t>1.2质量管理保证体系</w:t>
      </w:r>
    </w:p>
    <w:p>
      <w:pPr>
        <w:pStyle w:val="60"/>
        <w:ind w:firstLine="420"/>
      </w:pPr>
      <w:r>
        <w:t>1.3</w:t>
      </w:r>
      <w:r>
        <w:rPr>
          <w:rFonts w:hint="eastAsia"/>
        </w:rPr>
        <w:t>施工进度计划及保证措施</w:t>
      </w:r>
    </w:p>
    <w:p>
      <w:pPr>
        <w:pStyle w:val="60"/>
        <w:ind w:firstLine="420"/>
      </w:pPr>
      <w:r>
        <w:t>1.4</w:t>
      </w:r>
      <w:r>
        <w:rPr>
          <w:rFonts w:hint="eastAsia"/>
        </w:rPr>
        <w:t>劳动力计划及主要设备材料、构件的用量的计划</w:t>
      </w:r>
    </w:p>
    <w:p>
      <w:pPr>
        <w:pStyle w:val="60"/>
        <w:ind w:firstLine="420"/>
      </w:pPr>
      <w:r>
        <w:t>1.5</w:t>
      </w:r>
      <w:r>
        <w:rPr>
          <w:rFonts w:hint="eastAsia"/>
        </w:rPr>
        <w:t>主材质量保证</w:t>
      </w:r>
    </w:p>
    <w:p>
      <w:pPr>
        <w:pStyle w:val="60"/>
        <w:ind w:firstLine="420"/>
      </w:pPr>
      <w:r>
        <w:rPr>
          <w:rFonts w:hint="eastAsia"/>
        </w:rPr>
        <w:t xml:space="preserve">1.6安全防护措施 </w:t>
      </w:r>
    </w:p>
    <w:p>
      <w:pPr>
        <w:pStyle w:val="60"/>
        <w:ind w:firstLine="420"/>
      </w:pPr>
      <w:r>
        <w:t>1.7</w:t>
      </w:r>
      <w:r>
        <w:rPr>
          <w:rFonts w:hint="eastAsia"/>
        </w:rPr>
        <w:t>文明施工措施</w:t>
      </w:r>
    </w:p>
    <w:p>
      <w:pPr>
        <w:pStyle w:val="60"/>
        <w:ind w:firstLine="420"/>
      </w:pPr>
    </w:p>
    <w:p>
      <w:pPr>
        <w:pStyle w:val="60"/>
        <w:ind w:firstLine="420"/>
      </w:pPr>
      <w:r>
        <w:rPr>
          <w:rFonts w:hint="eastAsia"/>
        </w:rPr>
        <w:t>2.施工组织设计除采用文字表述外应附下列图表，图表及格式要求附后。</w:t>
      </w:r>
    </w:p>
    <w:p>
      <w:pPr>
        <w:pStyle w:val="60"/>
        <w:ind w:firstLine="420"/>
      </w:pPr>
      <w:r>
        <w:t>（</w:t>
      </w:r>
      <w:r>
        <w:rPr>
          <w:rFonts w:hint="eastAsia"/>
        </w:rPr>
        <w:t>1</w:t>
      </w:r>
      <w:r>
        <w:t>）</w:t>
      </w:r>
      <w:r>
        <w:rPr>
          <w:rFonts w:hint="eastAsia"/>
        </w:rPr>
        <w:t>拟投入的主要施工机械设备表</w:t>
      </w:r>
    </w:p>
    <w:p>
      <w:pPr>
        <w:pStyle w:val="60"/>
        <w:ind w:firstLine="420"/>
      </w:pPr>
      <w:r>
        <w:rPr>
          <w:rFonts w:hint="eastAsia"/>
        </w:rPr>
        <w:t>（2）劳动力计划表</w:t>
      </w:r>
    </w:p>
    <w:p>
      <w:pPr>
        <w:pStyle w:val="60"/>
        <w:ind w:firstLine="420"/>
      </w:pPr>
      <w:r>
        <w:rPr>
          <w:rFonts w:hint="eastAsia"/>
        </w:rPr>
        <w:t>（3）计划开、竣工日期和施工进度网络图</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1"/>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1"/>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 施工进度表采用网络图或横道图表示，说明计划开工日期和各分项工程各阶段的完工日期的日期。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79682146"/>
      <w:r>
        <w:rPr>
          <w:rFonts w:hint="eastAsia" w:ascii="宋体" w:hAnsi="宋体"/>
        </w:rPr>
        <w:t>评标办法</w:t>
      </w:r>
      <w:bookmarkEnd w:id="21"/>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bCs/>
          <w:szCs w:val="21"/>
          <w:u w:val="single"/>
        </w:rPr>
        <w:t>1号楼4层手术区供应室安装分体空调案</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4"/>
        </w:numPr>
        <w:ind w:firstLineChars="0"/>
      </w:pPr>
      <w:r>
        <w:rPr>
          <w:rFonts w:hint="eastAsia"/>
        </w:rPr>
        <w:t>公开、公平、公正和诚实信用的原则。</w:t>
      </w:r>
    </w:p>
    <w:p>
      <w:pPr>
        <w:pStyle w:val="60"/>
        <w:numPr>
          <w:ilvl w:val="0"/>
          <w:numId w:val="4"/>
        </w:numPr>
        <w:ind w:firstLineChars="0"/>
      </w:pPr>
      <w:r>
        <w:rPr>
          <w:rFonts w:hint="eastAsia"/>
        </w:rPr>
        <w:t>科学、合理、择优评标原则。</w:t>
      </w:r>
    </w:p>
    <w:p>
      <w:pPr>
        <w:pStyle w:val="60"/>
        <w:numPr>
          <w:ilvl w:val="0"/>
          <w:numId w:val="4"/>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kern w:val="0"/>
          <w:sz w:val="28"/>
          <w:szCs w:val="28"/>
        </w:rPr>
      </w:pPr>
      <w:r>
        <w:rPr>
          <w:rFonts w:hint="eastAsia" w:ascii="Arial" w:hAnsi="Arial" w:cs="宋体"/>
          <w:b/>
          <w:bCs/>
          <w:kern w:val="0"/>
          <w:sz w:val="28"/>
          <w:szCs w:val="28"/>
        </w:rPr>
        <w:t>施工组织设计评分表（</w:t>
      </w:r>
      <w:r>
        <w:rPr>
          <w:rFonts w:ascii="Arial" w:hAnsi="Arial" w:cs="宋体"/>
          <w:b/>
          <w:bCs/>
          <w:kern w:val="0"/>
          <w:sz w:val="28"/>
          <w:szCs w:val="28"/>
        </w:rPr>
        <w:t>标准分</w:t>
      </w:r>
      <w:r>
        <w:rPr>
          <w:rFonts w:hint="eastAsia" w:ascii="Arial" w:hAnsi="Arial" w:cs="宋体"/>
          <w:b/>
          <w:bCs/>
          <w:kern w:val="0"/>
          <w:sz w:val="28"/>
          <w:szCs w:val="28"/>
        </w:rPr>
        <w:t>40）</w:t>
      </w:r>
    </w:p>
    <w:tbl>
      <w:tblPr>
        <w:tblStyle w:val="41"/>
        <w:tblW w:w="981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651"/>
        <w:gridCol w:w="4452"/>
        <w:gridCol w:w="934"/>
        <w:gridCol w:w="696"/>
        <w:gridCol w:w="709"/>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651"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452"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64"/>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709"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709"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1</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资</w:t>
            </w:r>
            <w:r>
              <w:rPr>
                <w:szCs w:val="21"/>
              </w:rPr>
              <w:t>格评审</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w:t>
            </w:r>
          </w:p>
        </w:tc>
        <w:tc>
          <w:tcPr>
            <w:tcW w:w="4452" w:type="dxa"/>
            <w:tcBorders>
              <w:top w:val="single" w:color="auto" w:sz="12" w:space="0"/>
              <w:bottom w:val="single" w:color="auto" w:sz="6" w:space="0"/>
            </w:tcBorders>
            <w:vAlign w:val="center"/>
          </w:tcPr>
          <w:p>
            <w:pPr>
              <w:pStyle w:val="61"/>
              <w:rPr>
                <w:szCs w:val="21"/>
              </w:rPr>
            </w:pPr>
            <w:r>
              <w:rPr>
                <w:rFonts w:hint="eastAsia"/>
                <w:szCs w:val="21"/>
              </w:rPr>
              <w:t>资</w:t>
            </w:r>
            <w:r>
              <w:rPr>
                <w:szCs w:val="21"/>
              </w:rPr>
              <w:t>格条件满足招标文件要求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合</w:t>
            </w:r>
            <w:r>
              <w:rPr>
                <w:szCs w:val="21"/>
              </w:rPr>
              <w:t>格</w:t>
            </w:r>
          </w:p>
        </w:tc>
        <w:tc>
          <w:tcPr>
            <w:tcW w:w="696"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c>
          <w:tcPr>
            <w:tcW w:w="709"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不</w:t>
            </w:r>
            <w:r>
              <w:rPr>
                <w:szCs w:val="21"/>
              </w:rPr>
              <w:t>合格</w:t>
            </w:r>
          </w:p>
        </w:tc>
        <w:tc>
          <w:tcPr>
            <w:tcW w:w="696"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c>
          <w:tcPr>
            <w:tcW w:w="709"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szCs w:val="21"/>
              </w:rPr>
              <w:t>2</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投</w:t>
            </w:r>
            <w:r>
              <w:rPr>
                <w:szCs w:val="21"/>
              </w:rPr>
              <w:t>标文件技术要求响应招标文件要求，无偏差</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10</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,每出现一个偏差扣分，扣完为止</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0</w:t>
            </w:r>
            <w:r>
              <w:rPr>
                <w:szCs w:val="21"/>
              </w:rPr>
              <w:t>~</w:t>
            </w:r>
            <w:r>
              <w:rPr>
                <w:rFonts w:hint="eastAsia"/>
                <w:szCs w:val="21"/>
              </w:rPr>
              <w:t>9</w:t>
            </w:r>
            <w:r>
              <w:rPr>
                <w:szCs w:val="21"/>
              </w:rPr>
              <w:t>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651" w:type="dxa"/>
            <w:vMerge w:val="restart"/>
            <w:tcBorders>
              <w:top w:val="single" w:color="auto" w:sz="12" w:space="0"/>
              <w:bottom w:val="single" w:color="auto" w:sz="6" w:space="0"/>
            </w:tcBorders>
            <w:vAlign w:val="center"/>
          </w:tcPr>
          <w:p>
            <w:pPr>
              <w:pStyle w:val="61"/>
              <w:jc w:val="center"/>
              <w:rPr>
                <w:sz w:val="15"/>
                <w:szCs w:val="15"/>
              </w:rPr>
            </w:pPr>
            <w:r>
              <w:rPr>
                <w:rFonts w:hint="eastAsia"/>
                <w:szCs w:val="21"/>
              </w:rPr>
              <w:t>5</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释清晰。</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4</w:t>
            </w:r>
            <w:r>
              <w:rPr>
                <w:szCs w:val="21"/>
              </w:rPr>
              <w:t>~</w:t>
            </w:r>
            <w:r>
              <w:rPr>
                <w:rFonts w:hint="eastAsia"/>
                <w:szCs w:val="21"/>
              </w:rPr>
              <w:t>5</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3</w:t>
            </w:r>
            <w:r>
              <w:rPr>
                <w:szCs w:val="21"/>
              </w:rPr>
              <w:t>分</w:t>
            </w:r>
          </w:p>
        </w:tc>
        <w:tc>
          <w:tcPr>
            <w:tcW w:w="696" w:type="dxa"/>
            <w:vMerge w:val="continue"/>
          </w:tcPr>
          <w:p>
            <w:pPr>
              <w:pStyle w:val="61"/>
              <w:jc w:val="center"/>
              <w:rPr>
                <w:szCs w:val="21"/>
              </w:rPr>
            </w:pPr>
          </w:p>
        </w:tc>
        <w:tc>
          <w:tcPr>
            <w:tcW w:w="709" w:type="dxa"/>
            <w:vMerge w:val="continue"/>
          </w:tcPr>
          <w:p>
            <w:pPr>
              <w:pStyle w:val="61"/>
              <w:jc w:val="center"/>
              <w:rPr>
                <w:szCs w:val="21"/>
              </w:rPr>
            </w:pPr>
          </w:p>
        </w:tc>
        <w:tc>
          <w:tcPr>
            <w:tcW w:w="709"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4</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质量管理保证体系</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质量</w:t>
            </w:r>
            <w:r>
              <w:rPr>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质量</w:t>
            </w:r>
            <w:r>
              <w:rPr>
                <w:szCs w:val="21"/>
              </w:rPr>
              <w:t>体系一般，质量保证措施一般，有质量通病防治措施</w:t>
            </w:r>
            <w:r>
              <w:rPr>
                <w:rFonts w:hint="eastAsia"/>
                <w:szCs w:val="21"/>
              </w:rPr>
              <w:t>。</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vMerge w:val="continue"/>
          </w:tcPr>
          <w:p>
            <w:pPr>
              <w:pStyle w:val="61"/>
              <w:jc w:val="center"/>
              <w:rPr>
                <w:szCs w:val="21"/>
              </w:rPr>
            </w:pPr>
          </w:p>
        </w:tc>
        <w:tc>
          <w:tcPr>
            <w:tcW w:w="709" w:type="dxa"/>
            <w:vMerge w:val="continue"/>
          </w:tcPr>
          <w:p>
            <w:pPr>
              <w:pStyle w:val="61"/>
              <w:jc w:val="center"/>
              <w:rPr>
                <w:szCs w:val="21"/>
              </w:rPr>
            </w:pPr>
          </w:p>
        </w:tc>
        <w:tc>
          <w:tcPr>
            <w:tcW w:w="709"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5</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vMerge w:val="continue"/>
          </w:tcPr>
          <w:p>
            <w:pPr>
              <w:pStyle w:val="61"/>
              <w:jc w:val="center"/>
              <w:rPr>
                <w:szCs w:val="21"/>
              </w:rPr>
            </w:pPr>
          </w:p>
        </w:tc>
        <w:tc>
          <w:tcPr>
            <w:tcW w:w="709" w:type="dxa"/>
            <w:vMerge w:val="continue"/>
          </w:tcPr>
          <w:p>
            <w:pPr>
              <w:pStyle w:val="61"/>
              <w:jc w:val="center"/>
              <w:rPr>
                <w:szCs w:val="21"/>
              </w:rPr>
            </w:pPr>
          </w:p>
        </w:tc>
        <w:tc>
          <w:tcPr>
            <w:tcW w:w="709"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6</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劳动力计划及主要设备材料、构件的用量的计划</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vMerge w:val="continue"/>
          </w:tcPr>
          <w:p>
            <w:pPr>
              <w:pStyle w:val="61"/>
              <w:jc w:val="center"/>
              <w:rPr>
                <w:szCs w:val="21"/>
              </w:rPr>
            </w:pPr>
          </w:p>
        </w:tc>
        <w:tc>
          <w:tcPr>
            <w:tcW w:w="709" w:type="dxa"/>
            <w:vMerge w:val="continue"/>
          </w:tcPr>
          <w:p>
            <w:pPr>
              <w:pStyle w:val="61"/>
              <w:jc w:val="center"/>
              <w:rPr>
                <w:szCs w:val="21"/>
              </w:rPr>
            </w:pPr>
          </w:p>
        </w:tc>
        <w:tc>
          <w:tcPr>
            <w:tcW w:w="709"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7</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主材质量保证</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设备、主材选用品牌及技术规格符合招标文件要求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6</w:t>
            </w:r>
            <w:r>
              <w:rPr>
                <w:szCs w:val="21"/>
              </w:rPr>
              <w:t>~</w:t>
            </w:r>
            <w:r>
              <w:rPr>
                <w:rFonts w:hint="eastAsia"/>
                <w:szCs w:val="21"/>
              </w:rPr>
              <w:t>10</w:t>
            </w:r>
            <w:r>
              <w:rPr>
                <w:szCs w:val="21"/>
              </w:rPr>
              <w:t>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5</w:t>
            </w:r>
            <w:r>
              <w:rPr>
                <w:szCs w:val="21"/>
              </w:rPr>
              <w:t>分</w:t>
            </w:r>
          </w:p>
        </w:tc>
        <w:tc>
          <w:tcPr>
            <w:tcW w:w="696" w:type="dxa"/>
            <w:vMerge w:val="continue"/>
          </w:tcPr>
          <w:p>
            <w:pPr>
              <w:pStyle w:val="61"/>
              <w:jc w:val="center"/>
              <w:rPr>
                <w:szCs w:val="21"/>
              </w:rPr>
            </w:pPr>
          </w:p>
        </w:tc>
        <w:tc>
          <w:tcPr>
            <w:tcW w:w="709" w:type="dxa"/>
            <w:vMerge w:val="continue"/>
          </w:tcPr>
          <w:p>
            <w:pPr>
              <w:pStyle w:val="61"/>
              <w:jc w:val="center"/>
              <w:rPr>
                <w:szCs w:val="21"/>
              </w:rPr>
            </w:pPr>
          </w:p>
        </w:tc>
        <w:tc>
          <w:tcPr>
            <w:tcW w:w="709"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未按招标文件要求选用主材</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8</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安全防护措施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szCs w:val="21"/>
              </w:rPr>
              <w:t>制度</w:t>
            </w:r>
            <w:r>
              <w:rPr>
                <w:rFonts w:hint="eastAsia"/>
                <w:szCs w:val="21"/>
              </w:rPr>
              <w:t>欠完善</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9</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文明施工措施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文</w:t>
            </w:r>
            <w:r>
              <w:rPr>
                <w:szCs w:val="21"/>
              </w:rPr>
              <w:t>施管理体系健全，</w:t>
            </w:r>
            <w:r>
              <w:rPr>
                <w:rFonts w:hint="eastAsia"/>
                <w:szCs w:val="21"/>
              </w:rPr>
              <w:t>环</w:t>
            </w:r>
            <w:r>
              <w:rPr>
                <w:szCs w:val="21"/>
              </w:rPr>
              <w:t>保</w:t>
            </w:r>
            <w:r>
              <w:rPr>
                <w:rFonts w:hint="eastAsia"/>
                <w:szCs w:val="21"/>
              </w:rPr>
              <w:t>措施到位，</w:t>
            </w:r>
            <w:r>
              <w:rPr>
                <w:szCs w:val="21"/>
              </w:rPr>
              <w:t>针对性强</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c>
          <w:tcPr>
            <w:tcW w:w="709"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有环</w:t>
            </w:r>
            <w:r>
              <w:rPr>
                <w:szCs w:val="21"/>
              </w:rPr>
              <w:t>保措施</w:t>
            </w:r>
            <w:r>
              <w:rPr>
                <w:rFonts w:hint="eastAsia"/>
                <w:szCs w:val="21"/>
              </w:rPr>
              <w:t>，</w:t>
            </w:r>
            <w:r>
              <w:rPr>
                <w:szCs w:val="21"/>
              </w:rPr>
              <w:t>针对性欠佳</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c>
          <w:tcPr>
            <w:tcW w:w="709"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szCs w:val="21"/>
              </w:rPr>
            </w:pPr>
            <w:r>
              <w:rPr>
                <w:rFonts w:hint="eastAsia"/>
                <w:szCs w:val="21"/>
              </w:rPr>
              <w:t>10</w:t>
            </w:r>
          </w:p>
        </w:tc>
        <w:tc>
          <w:tcPr>
            <w:tcW w:w="6309"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61"/>
              <w:jc w:val="center"/>
              <w:rPr>
                <w:szCs w:val="21"/>
              </w:rPr>
            </w:pPr>
          </w:p>
        </w:tc>
        <w:tc>
          <w:tcPr>
            <w:tcW w:w="696"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c>
          <w:tcPr>
            <w:tcW w:w="709" w:type="dxa"/>
            <w:tcBorders>
              <w:top w:val="single" w:color="auto" w:sz="12" w:space="0"/>
            </w:tcBorders>
          </w:tcPr>
          <w:p>
            <w:pPr>
              <w:pStyle w:val="61"/>
              <w:jc w:val="center"/>
              <w:rPr>
                <w:szCs w:val="21"/>
              </w:rPr>
            </w:pPr>
          </w:p>
        </w:tc>
      </w:tr>
    </w:tbl>
    <w:p>
      <w:pPr>
        <w:tabs>
          <w:tab w:val="left" w:pos="2055"/>
        </w:tabs>
        <w:ind w:firstLine="5355" w:firstLineChars="2550"/>
        <w:sectPr>
          <w:footerReference r:id="rId11" w:type="default"/>
          <w:pgSz w:w="11906" w:h="16838"/>
          <w:pgMar w:top="1135" w:right="1800" w:bottom="1276" w:left="1800" w:header="855" w:footer="851" w:gutter="0"/>
          <w:cols w:space="425" w:num="1"/>
          <w:titlePg/>
          <w:docGrid w:type="lines" w:linePitch="312" w:charSpace="0"/>
        </w:sectPr>
      </w:pPr>
      <w:r>
        <w:rPr>
          <w:rFonts w:hint="eastAsia"/>
        </w:rPr>
        <w:t>评委签名：</w:t>
      </w:r>
      <w: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pStyle w:val="2"/>
        <w:keepNext w:val="0"/>
        <w:keepLines w:val="0"/>
        <w:ind w:left="0"/>
        <w:rPr>
          <w:rFonts w:ascii="宋体" w:hAnsi="宋体"/>
          <w:highlight w:val="none"/>
        </w:rPr>
      </w:pPr>
      <w:bookmarkStart w:id="22" w:name="_Toc79682147"/>
      <w:r>
        <w:rPr>
          <w:rFonts w:hint="eastAsia" w:ascii="宋体" w:hAnsi="宋体"/>
          <w:highlight w:val="none"/>
        </w:rPr>
        <w:t>技术</w:t>
      </w:r>
      <w:bookmarkStart w:id="24" w:name="_GoBack"/>
      <w:bookmarkEnd w:id="24"/>
      <w:r>
        <w:rPr>
          <w:rFonts w:ascii="宋体" w:hAnsi="宋体"/>
          <w:highlight w:val="none"/>
        </w:rPr>
        <w:t>要求</w:t>
      </w:r>
      <w:bookmarkEnd w:id="22"/>
    </w:p>
    <w:p>
      <w:pPr>
        <w:pStyle w:val="60"/>
        <w:ind w:firstLine="0" w:firstLineChars="0"/>
      </w:pPr>
      <w:r>
        <w:t>1.1 本空调系统应为</w:t>
      </w:r>
      <w:r>
        <w:rPr>
          <w:rFonts w:hint="eastAsia"/>
        </w:rPr>
        <w:t>国内</w:t>
      </w:r>
      <w:r>
        <w:t xml:space="preserve">知名品牌的多联式空调（热泵）系 统，夏季运行给房间供冷风，过渡季节空调供暖。 </w:t>
      </w:r>
    </w:p>
    <w:p>
      <w:pPr>
        <w:pStyle w:val="60"/>
        <w:ind w:firstLine="0" w:firstLineChars="0"/>
      </w:pPr>
      <w:r>
        <w:t xml:space="preserve">1.2 为了使空调系统运行更加稳定，室外机控制主板应使用液冷恒温技术，冷却效果优于传统风冷技术。 </w:t>
      </w:r>
    </w:p>
    <w:p>
      <w:pPr>
        <w:pStyle w:val="60"/>
        <w:ind w:firstLine="0" w:firstLineChars="0"/>
      </w:pPr>
      <w:r>
        <w:t>1.3 厂家提供的空调设备应选用生产信誉、质量较好的产品，考虑正常的保养维修更 换零部件方面不会对业主造成延迟和导致不方便和损失，最好选用中国产合资产品。进口 品必须做出书面承诺保证货期并出具书面的零部件库存证明。</w:t>
      </w:r>
    </w:p>
    <w:p>
      <w:pPr>
        <w:pStyle w:val="60"/>
        <w:ind w:firstLine="0" w:firstLineChars="0"/>
      </w:pPr>
      <w:r>
        <w:t>1.4 空调室内外机部品部件需采用外资或国内优质品牌。</w:t>
      </w:r>
    </w:p>
    <w:p>
      <w:pPr>
        <w:pStyle w:val="60"/>
        <w:ind w:firstLine="0" w:firstLineChars="0"/>
      </w:pPr>
      <w:r>
        <w:t>1.5 空调系统应具有高效的试运转功能，系统能自动检测冷媒填充量、配线、配管、 闭锁阀，确保空调系统的稳定性。</w:t>
      </w:r>
    </w:p>
    <w:p>
      <w:pPr>
        <w:pStyle w:val="60"/>
        <w:ind w:firstLine="0" w:firstLineChars="0"/>
      </w:pPr>
      <w:r>
        <w:t xml:space="preserve">2. 总体技术要求 </w:t>
      </w:r>
    </w:p>
    <w:p>
      <w:pPr>
        <w:pStyle w:val="60"/>
        <w:ind w:firstLine="0" w:firstLineChars="0"/>
      </w:pPr>
      <w:r>
        <w:t>2.</w:t>
      </w:r>
      <w:r>
        <w:rPr>
          <w:rFonts w:hint="eastAsia"/>
        </w:rPr>
        <w:t>1</w:t>
      </w:r>
      <w:r>
        <w:t xml:space="preserve"> 机组应为智能变频多联式空调机组。 </w:t>
      </w:r>
    </w:p>
    <w:p>
      <w:pPr>
        <w:pStyle w:val="60"/>
        <w:ind w:firstLine="0" w:firstLineChars="0"/>
      </w:pPr>
      <w:r>
        <w:t>2.</w:t>
      </w:r>
      <w:r>
        <w:rPr>
          <w:rFonts w:hint="eastAsia"/>
        </w:rPr>
        <w:t>2</w:t>
      </w:r>
      <w:r>
        <w:t xml:space="preserve"> 机组应确保运行安全可靠，操作和维修简便，维护费用低；并且系统安装简便， 配管尺寸小，安装成本低。各种重要的元器件均应有保护系统。 </w:t>
      </w:r>
    </w:p>
    <w:p>
      <w:pPr>
        <w:pStyle w:val="60"/>
        <w:ind w:firstLine="0" w:firstLineChars="0"/>
      </w:pPr>
      <w:r>
        <w:t>2.</w:t>
      </w:r>
      <w:r>
        <w:rPr>
          <w:rFonts w:hint="eastAsia"/>
        </w:rPr>
        <w:t>3</w:t>
      </w:r>
      <w:r>
        <w:t xml:space="preserve"> 空调设备选用低噪音节能设备，保温采用高效保温材料。空调系统安装简便，配 管尺寸经济、合理，布管优化。 </w:t>
      </w:r>
    </w:p>
    <w:p>
      <w:pPr>
        <w:pStyle w:val="60"/>
        <w:ind w:firstLine="0" w:firstLineChars="0"/>
      </w:pPr>
      <w:r>
        <w:t>2.</w:t>
      </w:r>
      <w:r>
        <w:rPr>
          <w:rFonts w:hint="eastAsia"/>
        </w:rPr>
        <w:t>4</w:t>
      </w:r>
      <w:r>
        <w:t xml:space="preserve"> 投标人须提出安装方案，详细的施工组织设计，室内外机安装保证牢固，且不影响建筑物其他功能，不影响大楼立面美观。</w:t>
      </w:r>
    </w:p>
    <w:p>
      <w:pPr>
        <w:pStyle w:val="60"/>
        <w:ind w:firstLine="0" w:firstLineChars="0"/>
      </w:pPr>
      <w:r>
        <w:t xml:space="preserve">3. 室外机（压缩机） </w:t>
      </w:r>
    </w:p>
    <w:p>
      <w:pPr>
        <w:pStyle w:val="60"/>
        <w:ind w:firstLine="0" w:firstLineChars="0"/>
      </w:pPr>
      <w:r>
        <w:t xml:space="preserve">3.1 室外机必须满足快速维修要求，压缩机可快速更换。 </w:t>
      </w:r>
    </w:p>
    <w:p>
      <w:pPr>
        <w:pStyle w:val="60"/>
        <w:ind w:firstLine="0" w:firstLineChars="0"/>
      </w:pPr>
      <w:r>
        <w:t xml:space="preserve">3.2 机组控制系统应具备自动调节功能，能根据设定的室内温度和室内机的运行状况， 自动调节压缩机的运行。 </w:t>
      </w:r>
    </w:p>
    <w:p>
      <w:pPr>
        <w:pStyle w:val="60"/>
        <w:ind w:firstLine="0" w:firstLineChars="0"/>
      </w:pPr>
      <w:r>
        <w:t xml:space="preserve">3.3 机组应有隔振装置，维修方便，运行中有良好的润滑保障，并且运转过程中不得 出现异常声响和振动。 </w:t>
      </w:r>
    </w:p>
    <w:p>
      <w:pPr>
        <w:pStyle w:val="60"/>
        <w:ind w:firstLine="0" w:firstLineChars="0"/>
      </w:pPr>
      <w:r>
        <w:t xml:space="preserve">3.4 空调室外机应具备先进的静音技术，采用一体式压缩机密封防音材料。 </w:t>
      </w:r>
    </w:p>
    <w:p>
      <w:pPr>
        <w:pStyle w:val="60"/>
        <w:ind w:firstLine="0" w:firstLineChars="0"/>
      </w:pPr>
      <w:r>
        <w:t xml:space="preserve">3.5 机组应具有良好的防尘、防雨、防腐和安全防护性能。外壳应有足够的强度并作除锈和防腐处理，在运输和安装、运输过程中不得出现凹凸变形。 </w:t>
      </w:r>
    </w:p>
    <w:p>
      <w:pPr>
        <w:pStyle w:val="60"/>
        <w:ind w:firstLine="0" w:firstLineChars="0"/>
      </w:pPr>
      <w:r>
        <w:t xml:space="preserve">3.6 机组表面应无划伤、锈斑和压痕，表面光洁，喷涂层均匀，色调一致，不得有剥落、卷皮、裂纹、气泡、流痕、杂色等现象。 </w:t>
      </w:r>
    </w:p>
    <w:p>
      <w:pPr>
        <w:pStyle w:val="60"/>
        <w:ind w:firstLine="0" w:firstLineChars="0"/>
      </w:pPr>
      <w:r>
        <w:t>3.7 空调室外机应采用机械室与送风室相通架构，能够有效对电控系统及重要机能品 进行散热。</w:t>
      </w:r>
    </w:p>
    <w:p>
      <w:pPr>
        <w:pStyle w:val="60"/>
        <w:ind w:firstLine="0" w:firstLineChars="0"/>
      </w:pPr>
      <w:r>
        <w:t xml:space="preserve">4. 室内机 </w:t>
      </w:r>
    </w:p>
    <w:p>
      <w:pPr>
        <w:pStyle w:val="60"/>
        <w:ind w:firstLine="0" w:firstLineChars="0"/>
      </w:pPr>
      <w:r>
        <w:t xml:space="preserve">4.1 室内机转速噪音符合国家标准。 </w:t>
      </w:r>
    </w:p>
    <w:p>
      <w:pPr>
        <w:pStyle w:val="60"/>
        <w:ind w:firstLine="0" w:firstLineChars="0"/>
      </w:pPr>
      <w:r>
        <w:t>4.2 风管式室内机出风口具有可摆动的出风格栅，实现房间多角度全方位无死角立体送风。</w:t>
      </w:r>
    </w:p>
    <w:p>
      <w:pPr>
        <w:pStyle w:val="60"/>
        <w:ind w:firstLine="0" w:firstLineChars="0"/>
      </w:pPr>
      <w:r>
        <w:t xml:space="preserve">5. 系统其他部件 </w:t>
      </w:r>
    </w:p>
    <w:p>
      <w:pPr>
        <w:pStyle w:val="60"/>
        <w:ind w:firstLine="0" w:firstLineChars="0"/>
      </w:pPr>
      <w:r>
        <w:t xml:space="preserve">5.1 蒸发器、冷凝器盘管应采用紫铜管，翅片应排列整齐、片距均匀，无裂纹、毛刺等。不允许有碰撞损坏。 </w:t>
      </w:r>
    </w:p>
    <w:p>
      <w:pPr>
        <w:pStyle w:val="60"/>
        <w:ind w:firstLine="0" w:firstLineChars="0"/>
      </w:pPr>
      <w:r>
        <w:t xml:space="preserve">5.2 室外机变频板散热应采用冷媒冷却方式，确保设备的稳定性。 </w:t>
      </w:r>
    </w:p>
    <w:p>
      <w:pPr>
        <w:pStyle w:val="60"/>
        <w:ind w:firstLine="0" w:firstLineChars="0"/>
      </w:pPr>
      <w:r>
        <w:t xml:space="preserve">5.3 冷凝器、蒸发器及其他在压力下工作的部件应符合有关规定，在工作压力下应能长期正常运行、无渗漏。 </w:t>
      </w:r>
    </w:p>
    <w:p>
      <w:pPr>
        <w:pStyle w:val="60"/>
        <w:ind w:firstLine="0" w:firstLineChars="0"/>
      </w:pPr>
      <w:r>
        <w:t xml:space="preserve">5.4 机组应有良好的隔热措施。机组表面及管路不得有露水外滴。 </w:t>
      </w:r>
    </w:p>
    <w:p>
      <w:pPr>
        <w:pStyle w:val="60"/>
        <w:ind w:firstLine="0" w:firstLineChars="0"/>
      </w:pPr>
      <w:r>
        <w:t>5.5 隔热材料应具有无毒、无腐蚀、无异味、不起尘、无异味、不吸湿的性能，并符 合有关建筑防火规范的要求。粘贴应平整、牢固，不得有附着不良、剥落和霉烂等现象。</w:t>
      </w:r>
    </w:p>
    <w:p>
      <w:pPr>
        <w:pStyle w:val="60"/>
        <w:ind w:firstLine="0" w:firstLineChars="0"/>
      </w:pPr>
      <w:r>
        <w:t xml:space="preserve">6 检验与测试 </w:t>
      </w:r>
    </w:p>
    <w:p>
      <w:pPr>
        <w:pStyle w:val="60"/>
        <w:ind w:firstLine="0" w:firstLineChars="0"/>
      </w:pPr>
      <w:r>
        <w:t>6.</w:t>
      </w:r>
      <w:r>
        <w:rPr>
          <w:rFonts w:hint="eastAsia"/>
        </w:rPr>
        <w:t>1</w:t>
      </w:r>
      <w:r>
        <w:t xml:space="preserve"> 设备到货后，应按国家标准抽取样品到国家权威机构进行检测，由采购人和监理认 可后方可进场。 </w:t>
      </w:r>
    </w:p>
    <w:p>
      <w:pPr>
        <w:pStyle w:val="60"/>
        <w:ind w:firstLine="0" w:firstLineChars="0"/>
      </w:pPr>
      <w:r>
        <w:t>6.</w:t>
      </w:r>
      <w:r>
        <w:rPr>
          <w:rFonts w:hint="eastAsia"/>
        </w:rPr>
        <w:t>2</w:t>
      </w:r>
      <w:r>
        <w:t>中标供应商应对设备及附件（包括安装所需的一切零部件及专用工具）、备件（费 用单独报价，并含在投标总价中）等负全责，采购人只对安装调试完毕后的系统进行验收。</w:t>
      </w:r>
    </w:p>
    <w:p>
      <w:pPr>
        <w:pStyle w:val="60"/>
        <w:ind w:firstLine="0" w:firstLineChars="0"/>
      </w:pPr>
      <w:r>
        <w:t xml:space="preserve">7 验收 </w:t>
      </w:r>
    </w:p>
    <w:p>
      <w:pPr>
        <w:pStyle w:val="60"/>
        <w:ind w:firstLine="0" w:firstLineChars="0"/>
      </w:pPr>
      <w:r>
        <w:t xml:space="preserve">7.1 最终验收将在系统安装调试完毕后，按国家标准及招标文件要求或双方经协商认可的标准进行。 </w:t>
      </w:r>
    </w:p>
    <w:p>
      <w:pPr>
        <w:pStyle w:val="60"/>
        <w:ind w:firstLine="0" w:firstLineChars="0"/>
      </w:pPr>
      <w:r>
        <w:t>7.2 当满足以下条件时，采购人才会认为验收合格。 a) 安装工作结束； b) 外观检查完成； c) 试运转工作结束； d) 综合效能试验测定，各项指标满足国家标准和设计要求； e) 技术资料、安装和测试资料齐全。</w:t>
      </w:r>
    </w:p>
    <w:p>
      <w:pPr>
        <w:pStyle w:val="60"/>
        <w:ind w:firstLine="0" w:firstLineChars="0"/>
      </w:pPr>
      <w:r>
        <w:t xml:space="preserve">8 技术培训 </w:t>
      </w:r>
    </w:p>
    <w:p>
      <w:pPr>
        <w:pStyle w:val="60"/>
        <w:ind w:firstLine="0" w:firstLineChars="0"/>
      </w:pPr>
      <w:r>
        <w:t xml:space="preserve">8.1 投标人应就其所提供的设备及操作系统对采购人的技术人员、操作人员和维修人员进行操作和维修方面的培训，培训内容至少应包括安全操作使用和设备维护及设备维修、排除简单故障 等。 </w:t>
      </w:r>
    </w:p>
    <w:p>
      <w:pPr>
        <w:pStyle w:val="60"/>
        <w:ind w:firstLine="0" w:firstLineChars="0"/>
        <w:rPr>
          <w:rFonts w:hint="eastAsia" w:eastAsia="宋体"/>
          <w:sz w:val="28"/>
          <w:szCs w:val="28"/>
          <w:lang w:val="en-US" w:eastAsia="zh-CN"/>
        </w:rPr>
        <w:sectPr>
          <w:headerReference r:id="rId13" w:type="first"/>
          <w:footerReference r:id="rId15" w:type="first"/>
          <w:headerReference r:id="rId12" w:type="default"/>
          <w:footerReference r:id="rId14" w:type="default"/>
          <w:pgSz w:w="11906" w:h="16838"/>
          <w:pgMar w:top="1402" w:right="1616" w:bottom="1558" w:left="1575" w:header="855" w:footer="851" w:gutter="0"/>
          <w:cols w:space="425" w:num="1"/>
          <w:titlePg/>
          <w:docGrid w:type="lines" w:linePitch="312" w:charSpace="0"/>
        </w:sectPr>
      </w:pPr>
      <w:r>
        <w:t>8.2 在投标文件中应明确培训人数、培训时间、培训内容、培训目的、培训地点等。培训费用应 单独报价，并含在投标总价中</w:t>
      </w:r>
      <w:r>
        <w:rPr>
          <w:rFonts w:hint="eastAsia"/>
          <w:lang w:eastAsia="zh-CN"/>
        </w:rPr>
        <w:t>。</w:t>
      </w:r>
    </w:p>
    <w:p>
      <w:pPr>
        <w:ind w:firstLine="0" w:firstLineChars="0"/>
        <w:sectPr>
          <w:headerReference r:id="rId17" w:type="first"/>
          <w:footerReference r:id="rId19" w:type="first"/>
          <w:headerReference r:id="rId16" w:type="default"/>
          <w:footerReference r:id="rId18" w:type="default"/>
          <w:pgSz w:w="11906" w:h="16838"/>
          <w:pgMar w:top="1402" w:right="1616" w:bottom="1558" w:left="1575" w:header="855" w:footer="851" w:gutter="0"/>
          <w:cols w:space="425" w:num="1"/>
          <w:titlePg/>
          <w:docGrid w:type="lines" w:linePitch="312" w:charSpace="0"/>
        </w:sectPr>
      </w:pPr>
    </w:p>
    <w:p>
      <w:pPr>
        <w:pStyle w:val="2"/>
        <w:keepNext w:val="0"/>
        <w:keepLines w:val="0"/>
        <w:ind w:left="0"/>
        <w:rPr>
          <w:rFonts w:ascii="宋体" w:hAnsi="宋体"/>
        </w:rPr>
      </w:pPr>
      <w:bookmarkStart w:id="23" w:name="_Toc79682148"/>
      <w:r>
        <w:rPr>
          <w:rFonts w:hint="eastAsia" w:ascii="宋体" w:hAnsi="宋体"/>
        </w:rPr>
        <w:t>工程量清单及图纸</w:t>
      </w:r>
      <w:bookmarkEnd w:id="23"/>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jc w:val="right"/>
        <w:rPr>
          <w:sz w:val="24"/>
        </w:rPr>
      </w:pPr>
      <w:r>
        <w:rPr>
          <w:rFonts w:hint="eastAsia"/>
          <w:sz w:val="24"/>
        </w:rPr>
        <w:t>学校招标工作领导小组</w:t>
      </w:r>
    </w:p>
    <w:p>
      <w:pPr>
        <w:spacing w:line="400" w:lineRule="exact"/>
        <w:ind w:firstLine="480"/>
        <w:jc w:val="right"/>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22" w:type="first"/>
      <w:footerReference r:id="rId25" w:type="first"/>
      <w:headerReference r:id="rId20" w:type="default"/>
      <w:footerReference r:id="rId23" w:type="default"/>
      <w:headerReference r:id="rId21" w:type="even"/>
      <w:footerReference r:id="rId24"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139</w:t>
    </w:r>
    <w:r>
      <w:rPr>
        <w:rFonts w:ascii="宋体" w:hAnsi="宋体"/>
        <w:kern w:val="0"/>
        <w:szCs w:val="21"/>
      </w:rPr>
      <w:fldChar w:fldCharType="end"/>
    </w:r>
    <w:r>
      <w:rPr>
        <w:rFonts w:hint="eastAsia" w:ascii="宋体" w:hAnsi="宋体"/>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120"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59</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59</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60</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7630271"/>
    </w:sdtPr>
    <w:sdtContent>
      <w:p>
        <w:pPr>
          <w:pStyle w:val="26"/>
          <w:ind w:firstLine="360"/>
          <w:jc w:val="center"/>
        </w:pPr>
        <w:r>
          <w:fldChar w:fldCharType="begin"/>
        </w:r>
        <w:r>
          <w:instrText xml:space="preserve">PAGE   \* MERGEFORMAT</w:instrText>
        </w:r>
        <w:r>
          <w:fldChar w:fldCharType="separate"/>
        </w:r>
        <w:r>
          <w:rPr>
            <w:lang w:val="zh-CN"/>
          </w:rPr>
          <w:t>149</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3">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4F2"/>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C6917"/>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26F0E"/>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0722"/>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0D1E"/>
    <w:rsid w:val="008E14D0"/>
    <w:rsid w:val="008E2CF8"/>
    <w:rsid w:val="008E2EA2"/>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3B1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16AF"/>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3D6"/>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2143F34"/>
    <w:rsid w:val="03E92EB5"/>
    <w:rsid w:val="03F41DBA"/>
    <w:rsid w:val="0423034E"/>
    <w:rsid w:val="06A34A4A"/>
    <w:rsid w:val="074A534B"/>
    <w:rsid w:val="0834480F"/>
    <w:rsid w:val="095A1D50"/>
    <w:rsid w:val="0B5B4B4D"/>
    <w:rsid w:val="0BFA7260"/>
    <w:rsid w:val="0C1C5013"/>
    <w:rsid w:val="114B0313"/>
    <w:rsid w:val="13FF08AF"/>
    <w:rsid w:val="14213BED"/>
    <w:rsid w:val="14FC2F8D"/>
    <w:rsid w:val="17596DCE"/>
    <w:rsid w:val="18E846D5"/>
    <w:rsid w:val="1A18015E"/>
    <w:rsid w:val="1AFD49EE"/>
    <w:rsid w:val="1BF55B41"/>
    <w:rsid w:val="1DEB0A3D"/>
    <w:rsid w:val="20A506C3"/>
    <w:rsid w:val="23B105BF"/>
    <w:rsid w:val="278332B5"/>
    <w:rsid w:val="2DB945AD"/>
    <w:rsid w:val="32B91789"/>
    <w:rsid w:val="34FA0CBB"/>
    <w:rsid w:val="36513340"/>
    <w:rsid w:val="369E3E01"/>
    <w:rsid w:val="38FC729C"/>
    <w:rsid w:val="3D862028"/>
    <w:rsid w:val="49B84D57"/>
    <w:rsid w:val="4ECF6A29"/>
    <w:rsid w:val="4F670745"/>
    <w:rsid w:val="50BD42BD"/>
    <w:rsid w:val="52641EB1"/>
    <w:rsid w:val="559A1AA0"/>
    <w:rsid w:val="580F45DF"/>
    <w:rsid w:val="5A313214"/>
    <w:rsid w:val="5CEC5CA3"/>
    <w:rsid w:val="5E581753"/>
    <w:rsid w:val="5E8C253F"/>
    <w:rsid w:val="60A84F6E"/>
    <w:rsid w:val="62BA675C"/>
    <w:rsid w:val="64224BC6"/>
    <w:rsid w:val="64C57DD1"/>
    <w:rsid w:val="676E0B63"/>
    <w:rsid w:val="68EB5243"/>
    <w:rsid w:val="6CE10F49"/>
    <w:rsid w:val="6D12406A"/>
    <w:rsid w:val="6F037ACB"/>
    <w:rsid w:val="707849F2"/>
    <w:rsid w:val="7BF473AC"/>
    <w:rsid w:val="7C49611A"/>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2">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3">
    <w:name w:val="caption"/>
    <w:basedOn w:val="1"/>
    <w:next w:val="1"/>
    <w:qFormat/>
    <w:uiPriority w:val="0"/>
    <w:pPr>
      <w:spacing w:line="240" w:lineRule="auto"/>
      <w:ind w:firstLine="129" w:firstLineChars="46"/>
    </w:pPr>
    <w:rPr>
      <w:rFonts w:ascii="黑体" w:hAnsi="黑体" w:eastAsia="黑体"/>
      <w:b/>
      <w:sz w:val="28"/>
      <w:szCs w:val="28"/>
    </w:rPr>
  </w:style>
  <w:style w:type="paragraph" w:styleId="14">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5">
    <w:name w:val="annotation text"/>
    <w:basedOn w:val="1"/>
    <w:link w:val="76"/>
    <w:qFormat/>
    <w:uiPriority w:val="0"/>
    <w:pPr>
      <w:adjustRightInd w:val="0"/>
      <w:spacing w:line="360" w:lineRule="atLeast"/>
      <w:jc w:val="left"/>
      <w:textAlignment w:val="baseline"/>
    </w:pPr>
    <w:rPr>
      <w:kern w:val="0"/>
      <w:sz w:val="24"/>
      <w:szCs w:val="20"/>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0"/>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5"/>
    <w:next w:val="15"/>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字符"/>
    <w:link w:val="2"/>
    <w:qFormat/>
    <w:uiPriority w:val="0"/>
    <w:rPr>
      <w:b/>
      <w:bCs/>
      <w:snapToGrid w:val="0"/>
      <w:sz w:val="32"/>
      <w:szCs w:val="32"/>
    </w:rPr>
  </w:style>
  <w:style w:type="character" w:customStyle="1" w:styleId="51">
    <w:name w:val="标题 9 字符"/>
    <w:link w:val="10"/>
    <w:qFormat/>
    <w:uiPriority w:val="0"/>
    <w:rPr>
      <w:rFonts w:ascii="Arial" w:hAnsi="Arial"/>
      <w:snapToGrid w:val="0"/>
      <w:sz w:val="24"/>
      <w:szCs w:val="24"/>
      <w:lang w:bidi="ar-SA"/>
    </w:rPr>
  </w:style>
  <w:style w:type="character" w:customStyle="1" w:styleId="52">
    <w:name w:val="标题 8 字符"/>
    <w:link w:val="9"/>
    <w:qFormat/>
    <w:uiPriority w:val="0"/>
    <w:rPr>
      <w:rFonts w:ascii="Arial" w:hAnsi="Arial"/>
      <w:snapToGrid w:val="0"/>
      <w:sz w:val="24"/>
      <w:szCs w:val="24"/>
      <w:lang w:bidi="ar-SA"/>
    </w:rPr>
  </w:style>
  <w:style w:type="character" w:customStyle="1" w:styleId="53">
    <w:name w:val="标题 7 字符"/>
    <w:link w:val="8"/>
    <w:qFormat/>
    <w:uiPriority w:val="0"/>
    <w:rPr>
      <w:color w:val="FF0000"/>
      <w:kern w:val="2"/>
      <w:sz w:val="21"/>
      <w:szCs w:val="24"/>
      <w:lang w:bidi="ar-SA"/>
    </w:rPr>
  </w:style>
  <w:style w:type="character" w:customStyle="1" w:styleId="54">
    <w:name w:val="标题 6 字符"/>
    <w:link w:val="7"/>
    <w:qFormat/>
    <w:uiPriority w:val="0"/>
    <w:rPr>
      <w:rFonts w:ascii="宋体" w:hAnsi="宋体"/>
      <w:kern w:val="2"/>
      <w:sz w:val="21"/>
      <w:szCs w:val="24"/>
      <w:lang w:bidi="ar-SA"/>
    </w:rPr>
  </w:style>
  <w:style w:type="character" w:customStyle="1" w:styleId="55">
    <w:name w:val="标题 5 字符"/>
    <w:link w:val="6"/>
    <w:qFormat/>
    <w:uiPriority w:val="0"/>
    <w:rPr>
      <w:rFonts w:ascii="宋体" w:hAnsi="宋体"/>
      <w:bCs/>
      <w:snapToGrid w:val="0"/>
      <w:sz w:val="21"/>
      <w:szCs w:val="21"/>
      <w:lang w:bidi="ar-SA"/>
    </w:rPr>
  </w:style>
  <w:style w:type="character" w:customStyle="1" w:styleId="56">
    <w:name w:val="标题 4 字符"/>
    <w:link w:val="5"/>
    <w:qFormat/>
    <w:uiPriority w:val="0"/>
    <w:rPr>
      <w:rFonts w:ascii="宋体" w:hAnsi="宋体"/>
      <w:b/>
      <w:bCs/>
      <w:snapToGrid w:val="0"/>
      <w:sz w:val="21"/>
      <w:szCs w:val="21"/>
      <w:lang w:bidi="ar-SA"/>
    </w:rPr>
  </w:style>
  <w:style w:type="character" w:customStyle="1" w:styleId="57">
    <w:name w:val="标题 3 字符"/>
    <w:link w:val="4"/>
    <w:qFormat/>
    <w:uiPriority w:val="0"/>
    <w:rPr>
      <w:rFonts w:ascii="宋体" w:hAnsi="宋体"/>
      <w:b/>
      <w:bCs/>
      <w:snapToGrid w:val="0"/>
      <w:sz w:val="24"/>
      <w:szCs w:val="21"/>
      <w:lang w:bidi="ar-SA"/>
    </w:rPr>
  </w:style>
  <w:style w:type="character" w:customStyle="1" w:styleId="58">
    <w:name w:val="标题 2 字符"/>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字符"/>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字符"/>
    <w:link w:val="27"/>
    <w:qFormat/>
    <w:uiPriority w:val="0"/>
    <w:rPr>
      <w:kern w:val="2"/>
      <w:sz w:val="18"/>
      <w:szCs w:val="18"/>
    </w:rPr>
  </w:style>
  <w:style w:type="character" w:customStyle="1" w:styleId="71">
    <w:name w:val="页脚 字符"/>
    <w:link w:val="26"/>
    <w:qFormat/>
    <w:uiPriority w:val="0"/>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字符"/>
    <w:link w:val="23"/>
    <w:qFormat/>
    <w:uiPriority w:val="0"/>
    <w:rPr>
      <w:kern w:val="2"/>
      <w:sz w:val="21"/>
      <w:szCs w:val="24"/>
    </w:rPr>
  </w:style>
  <w:style w:type="character" w:customStyle="1" w:styleId="75">
    <w:name w:val="纯文本 字符"/>
    <w:link w:val="21"/>
    <w:qFormat/>
    <w:uiPriority w:val="0"/>
    <w:rPr>
      <w:rFonts w:ascii="宋体" w:hAnsi="Courier New" w:cs="Courier New"/>
      <w:kern w:val="2"/>
      <w:sz w:val="21"/>
      <w:szCs w:val="21"/>
    </w:rPr>
  </w:style>
  <w:style w:type="character" w:customStyle="1" w:styleId="76">
    <w:name w:val="批注文字 字符"/>
    <w:link w:val="15"/>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字符"/>
    <w:link w:val="25"/>
    <w:semiHidden/>
    <w:qFormat/>
    <w:uiPriority w:val="0"/>
    <w:rPr>
      <w:kern w:val="2"/>
      <w:sz w:val="18"/>
      <w:szCs w:val="18"/>
    </w:rPr>
  </w:style>
  <w:style w:type="character" w:customStyle="1" w:styleId="79">
    <w:name w:val="批注主题 字符"/>
    <w:basedOn w:val="76"/>
    <w:link w:val="40"/>
    <w:qFormat/>
    <w:uiPriority w:val="0"/>
    <w:rPr>
      <w:sz w:val="24"/>
    </w:rPr>
  </w:style>
  <w:style w:type="character" w:customStyle="1" w:styleId="80">
    <w:name w:val="HTML 预设格式 字符"/>
    <w:link w:val="37"/>
    <w:qFormat/>
    <w:uiPriority w:val="0"/>
    <w:rPr>
      <w:rFonts w:ascii="Arial" w:hAnsi="Arial" w:cs="Arial"/>
      <w:sz w:val="24"/>
      <w:szCs w:val="24"/>
    </w:rPr>
  </w:style>
  <w:style w:type="character" w:customStyle="1" w:styleId="81">
    <w:name w:val="正文文本 字符"/>
    <w:link w:val="17"/>
    <w:qFormat/>
    <w:uiPriority w:val="0"/>
    <w:rPr>
      <w:rFonts w:ascii="宋体" w:hAnsi="宋体"/>
      <w:sz w:val="24"/>
      <w:szCs w:val="24"/>
      <w:lang w:eastAsia="en-US" w:bidi="en-US"/>
    </w:rPr>
  </w:style>
  <w:style w:type="character" w:customStyle="1" w:styleId="82">
    <w:name w:val="正文文本缩进 字符"/>
    <w:link w:val="18"/>
    <w:qFormat/>
    <w:uiPriority w:val="0"/>
    <w:rPr>
      <w:rFonts w:ascii="宋体" w:hAnsi="宋体"/>
      <w:color w:val="000000"/>
      <w:kern w:val="2"/>
      <w:sz w:val="28"/>
    </w:rPr>
  </w:style>
  <w:style w:type="character" w:customStyle="1" w:styleId="83">
    <w:name w:val="副标题 字符"/>
    <w:link w:val="30"/>
    <w:qFormat/>
    <w:uiPriority w:val="11"/>
    <w:rPr>
      <w:rFonts w:ascii="Cambria" w:hAnsi="Cambria"/>
      <w:sz w:val="24"/>
      <w:szCs w:val="24"/>
    </w:rPr>
  </w:style>
  <w:style w:type="character" w:customStyle="1" w:styleId="84">
    <w:name w:val="正文文本 2 字符"/>
    <w:link w:val="36"/>
    <w:qFormat/>
    <w:uiPriority w:val="0"/>
    <w:rPr>
      <w:rFonts w:ascii="幼圆" w:hAnsi="Calibri" w:eastAsia="幼圆"/>
      <w:sz w:val="24"/>
      <w:szCs w:val="24"/>
    </w:rPr>
  </w:style>
  <w:style w:type="character" w:customStyle="1" w:styleId="85">
    <w:name w:val="正文文本 3 字符"/>
    <w:link w:val="16"/>
    <w:qFormat/>
    <w:uiPriority w:val="0"/>
    <w:rPr>
      <w:rFonts w:ascii="Arial" w:hAnsi="Arial" w:cs="Arial"/>
      <w:color w:val="FF0000"/>
      <w:kern w:val="2"/>
      <w:sz w:val="24"/>
      <w:szCs w:val="24"/>
    </w:rPr>
  </w:style>
  <w:style w:type="character" w:customStyle="1" w:styleId="86">
    <w:name w:val="正文文本缩进 2 字符"/>
    <w:link w:val="24"/>
    <w:qFormat/>
    <w:uiPriority w:val="0"/>
    <w:rPr>
      <w:rFonts w:ascii="Arial" w:hAnsi="Arial" w:cs="Arial"/>
      <w:kern w:val="2"/>
      <w:sz w:val="24"/>
      <w:szCs w:val="24"/>
    </w:rPr>
  </w:style>
  <w:style w:type="character" w:customStyle="1" w:styleId="87">
    <w:name w:val="正文文本缩进 3 字符"/>
    <w:link w:val="33"/>
    <w:qFormat/>
    <w:uiPriority w:val="0"/>
    <w:rPr>
      <w:rFonts w:ascii="Calibri" w:hAnsi="Calibri"/>
      <w:kern w:val="2"/>
      <w:sz w:val="28"/>
    </w:rPr>
  </w:style>
  <w:style w:type="character" w:customStyle="1" w:styleId="88">
    <w:name w:val="文档结构图 字符"/>
    <w:link w:val="14"/>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5"/>
    <w:next w:val="15"/>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kern w:val="2"/>
      <w:sz w:val="21"/>
      <w:szCs w:val="22"/>
    </w:rPr>
    <w:tblPr>
      <w:tblLayout w:type="fixed"/>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列表段落2"/>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61</Pages>
  <Words>4264</Words>
  <Characters>24305</Characters>
  <Lines>202</Lines>
  <Paragraphs>57</Paragraphs>
  <TotalTime>33</TotalTime>
  <ScaleCrop>false</ScaleCrop>
  <LinksUpToDate>false</LinksUpToDate>
  <CharactersWithSpaces>28512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2021-10-15T00:23:07Z</dcterms:modified>
  <dc:title>工程编号：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CF871219C62F4EAF87691DA96958C67E</vt:lpwstr>
  </property>
</Properties>
</file>